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AC5857"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חננאל שרעבי</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C866BA" w:rsidRDefault="002A709C">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tcPr>
          <w:p w:rsidR="00FA7FD0" w:rsidRDefault="00FA7FD0" w:rsidP="00D44968">
            <w:pPr>
              <w:suppressLineNumbers/>
              <w:rPr>
                <w:rtl/>
              </w:rPr>
            </w:pPr>
          </w:p>
          <w:p w:rsidR="0094424E" w:rsidRDefault="00E41700" w:rsidP="00462F68">
            <w:pPr>
              <w:suppressLineNumbers/>
              <w:spacing w:after="120" w:line="360" w:lineRule="auto"/>
              <w:rPr>
                <w:b/>
                <w:bCs/>
                <w:noProof w:val="0"/>
                <w:sz w:val="26"/>
                <w:szCs w:val="26"/>
              </w:rPr>
            </w:pPr>
            <w:sdt>
              <w:sdtPr>
                <w:rPr>
                  <w:b/>
                  <w:bCs/>
                  <w:sz w:val="26"/>
                  <w:szCs w:val="26"/>
                  <w:rtl/>
                </w:rPr>
                <w:alias w:val="3151"/>
                <w:tag w:val="3151"/>
                <w:id w:val="1166218717"/>
                <w:placeholder>
                  <w:docPart w:val="1C8A38705F7143EA87FF3DEB2C34E7E5"/>
                </w:placeholder>
                <w:text w:multiLine="1"/>
              </w:sdtPr>
              <w:sdtEndPr/>
              <w:sdtContent>
                <w:r w:rsidR="00462F68">
                  <w:rPr>
                    <w:b/>
                    <w:bCs/>
                    <w:sz w:val="26"/>
                    <w:szCs w:val="26"/>
                    <w:rtl/>
                  </w:rPr>
                  <w:t>ל</w:t>
                </w:r>
                <w:r w:rsidR="00462F68">
                  <w:rPr>
                    <w:rFonts w:hint="cs"/>
                    <w:b/>
                    <w:bCs/>
                    <w:sz w:val="26"/>
                    <w:szCs w:val="26"/>
                    <w:rtl/>
                  </w:rPr>
                  <w:t>. ר</w:t>
                </w:r>
                <w:r w:rsidR="002A709C">
                  <w:rPr>
                    <w:b/>
                    <w:bCs/>
                    <w:sz w:val="26"/>
                    <w:szCs w:val="26"/>
                    <w:rtl/>
                  </w:rPr>
                  <w:br/>
                </w:r>
                <w:r w:rsidR="002A709C" w:rsidRPr="002A709C">
                  <w:rPr>
                    <w:b/>
                    <w:bCs/>
                    <w:sz w:val="26"/>
                    <w:szCs w:val="26"/>
                    <w:rtl/>
                  </w:rPr>
                  <w:t>ע"י ב"כ עוה"ד ענבל כספי גאון</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2A709C">
            <w:pPr>
              <w:suppressLineNumbers/>
              <w:spacing w:after="120"/>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E41700" w:rsidP="00D44968">
            <w:pPr>
              <w:suppressLineNumbers/>
              <w:rPr>
                <w:rFonts w:ascii="Arial" w:hAnsi="Arial"/>
                <w:b/>
                <w:bCs/>
                <w:noProof w:val="0"/>
                <w:sz w:val="26"/>
                <w:szCs w:val="26"/>
              </w:rPr>
            </w:pPr>
            <w:sdt>
              <w:sdtPr>
                <w:rPr>
                  <w:rtl/>
                </w:rPr>
                <w:alias w:val="1184"/>
                <w:tag w:val="1184"/>
                <w:id w:val="-340621022"/>
                <w:text w:multiLine="1"/>
              </w:sdtPr>
              <w:sdtEndPr/>
              <w:sdtContent>
                <w:r w:rsidR="002A709C">
                  <w:rPr>
                    <w:rFonts w:ascii="Arial" w:hAnsi="Arial"/>
                    <w:b/>
                    <w:bCs/>
                    <w:noProof w:val="0"/>
                    <w:sz w:val="26"/>
                    <w:szCs w:val="26"/>
                    <w:rtl/>
                  </w:rPr>
                  <w:t>משיב</w:t>
                </w:r>
              </w:sdtContent>
            </w:sdt>
          </w:p>
        </w:tc>
        <w:tc>
          <w:tcPr>
            <w:tcW w:w="5571" w:type="dxa"/>
          </w:tcPr>
          <w:p w:rsidR="00CF6BB7" w:rsidRPr="00CD516B" w:rsidRDefault="00E41700" w:rsidP="00462F68">
            <w:pPr>
              <w:suppressLineNumbers/>
              <w:spacing w:after="120"/>
              <w:rPr>
                <w:rFonts w:ascii="Arial" w:hAnsi="Arial"/>
                <w:b/>
                <w:bCs/>
                <w:noProof w:val="0"/>
                <w:sz w:val="26"/>
                <w:szCs w:val="26"/>
                <w:rtl/>
              </w:rPr>
            </w:pPr>
            <w:sdt>
              <w:sdtPr>
                <w:rPr>
                  <w:b/>
                  <w:bCs/>
                  <w:sz w:val="26"/>
                  <w:szCs w:val="26"/>
                  <w:rtl/>
                </w:rPr>
                <w:alias w:val="3152"/>
                <w:tag w:val="3152"/>
                <w:id w:val="-1346628691"/>
                <w:placeholder>
                  <w:docPart w:val="4DC45A2FD697422FAA3CD896A84FA7B4"/>
                </w:placeholder>
                <w:text w:multiLine="1"/>
              </w:sdtPr>
              <w:sdtEndPr/>
              <w:sdtContent>
                <w:r w:rsidR="00462F68">
                  <w:rPr>
                    <w:b/>
                    <w:bCs/>
                    <w:sz w:val="26"/>
                    <w:szCs w:val="26"/>
                    <w:rtl/>
                  </w:rPr>
                  <w:t>נ</w:t>
                </w:r>
                <w:r w:rsidR="00462F68">
                  <w:rPr>
                    <w:rFonts w:hint="cs"/>
                    <w:b/>
                    <w:bCs/>
                    <w:sz w:val="26"/>
                    <w:szCs w:val="26"/>
                    <w:rtl/>
                  </w:rPr>
                  <w:t>. ר</w:t>
                </w:r>
              </w:sdtContent>
            </w:sdt>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r w:rsidR="00CF6BB7">
        <w:trPr>
          <w:jc w:val="center"/>
        </w:trPr>
        <w:tc>
          <w:tcPr>
            <w:tcW w:w="3249" w:type="dxa"/>
            <w:gridSpan w:val="2"/>
          </w:tcPr>
          <w:p w:rsidR="00B62AD7" w:rsidRPr="00B62AD7" w:rsidRDefault="002A709C" w:rsidP="00B66717">
            <w:pPr>
              <w:rPr>
                <w:rFonts w:ascii="David" w:eastAsia="David" w:hAnsi="David"/>
                <w:b/>
                <w:bCs/>
                <w:noProof w:val="0"/>
              </w:rPr>
            </w:pPr>
            <w:r>
              <w:rPr>
                <w:b/>
                <w:bCs/>
                <w:sz w:val="26"/>
                <w:szCs w:val="26"/>
                <w:rtl/>
              </w:rPr>
              <w:t>בעניין הקטין</w:t>
            </w:r>
          </w:p>
        </w:tc>
        <w:tc>
          <w:tcPr>
            <w:tcW w:w="5571" w:type="dxa"/>
          </w:tcPr>
          <w:p w:rsidR="00CF6BB7" w:rsidRDefault="00462F68" w:rsidP="00462F68">
            <w:pPr>
              <w:rPr>
                <w:b/>
                <w:bCs/>
                <w:sz w:val="26"/>
                <w:szCs w:val="26"/>
                <w:rtl/>
              </w:rPr>
            </w:pPr>
            <w:r>
              <w:rPr>
                <w:b/>
                <w:bCs/>
                <w:sz w:val="26"/>
                <w:szCs w:val="26"/>
                <w:rtl/>
              </w:rPr>
              <w:t>נ</w:t>
            </w:r>
            <w:r>
              <w:rPr>
                <w:rFonts w:hint="cs"/>
                <w:b/>
                <w:bCs/>
                <w:sz w:val="26"/>
                <w:szCs w:val="26"/>
                <w:rtl/>
              </w:rPr>
              <w:t xml:space="preserve">', </w:t>
            </w:r>
            <w:r w:rsidR="002A709C">
              <w:rPr>
                <w:b/>
                <w:bCs/>
                <w:sz w:val="26"/>
                <w:szCs w:val="26"/>
                <w:rtl/>
              </w:rPr>
              <w:t>יליד 2014</w:t>
            </w:r>
          </w:p>
          <w:p w:rsidR="00B66717" w:rsidRPr="00B62AD7" w:rsidRDefault="00B66717" w:rsidP="00B66717">
            <w:pPr>
              <w:rPr>
                <w:b/>
                <w:bCs/>
                <w:sz w:val="26"/>
                <w:szCs w:val="26"/>
              </w:rPr>
            </w:pPr>
          </w:p>
        </w:tc>
      </w:tr>
      <w:tr w:rsidR="004C17EE" w:rsidTr="00D620FD">
        <w:trPr>
          <w:jc w:val="center"/>
        </w:trPr>
        <w:tc>
          <w:tcPr>
            <w:tcW w:w="8820" w:type="dxa"/>
            <w:gridSpan w:val="3"/>
          </w:tcPr>
          <w:p w:rsidR="00C866BA" w:rsidRDefault="00C866BA">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2A709C" w:rsidRDefault="002A709C" w:rsidP="002A709C">
      <w:pPr>
        <w:spacing w:after="120" w:line="360" w:lineRule="auto"/>
        <w:ind w:left="720" w:hanging="720"/>
        <w:jc w:val="both"/>
        <w:rPr>
          <w:rFonts w:ascii="Arial" w:hAnsi="Arial"/>
          <w:noProof w:val="0"/>
        </w:rPr>
      </w:pPr>
      <w:bookmarkStart w:id="1" w:name="NGCSBookmark"/>
      <w:bookmarkEnd w:id="1"/>
      <w:r>
        <w:rPr>
          <w:rFonts w:ascii="Arial" w:hAnsi="Arial"/>
          <w:noProof w:val="0"/>
          <w:rtl/>
        </w:rPr>
        <w:t>1.</w:t>
      </w:r>
      <w:r>
        <w:rPr>
          <w:rFonts w:ascii="Arial" w:hAnsi="Arial"/>
          <w:noProof w:val="0"/>
          <w:rtl/>
        </w:rPr>
        <w:tab/>
        <w:t>עסקינן בבקשת רשות ערעור על החלטת בית המשפט לענייני משפחה בחיפה (כב' השופטת אלה פטל) בתיק י"ס 50866-06-24 מיום 4.9.2024, במסגרתה נפסק למשיב תשלום מזונות זמניים עבור הקטין כבן עשר שנים (להלן: "</w:t>
      </w:r>
      <w:r>
        <w:rPr>
          <w:rFonts w:ascii="Arial" w:hAnsi="Arial"/>
          <w:b/>
          <w:bCs/>
          <w:noProof w:val="0"/>
          <w:rtl/>
        </w:rPr>
        <w:t>התיק קמא</w:t>
      </w:r>
      <w:r>
        <w:rPr>
          <w:rFonts w:ascii="Arial" w:hAnsi="Arial"/>
          <w:noProof w:val="0"/>
          <w:rtl/>
        </w:rPr>
        <w:t>" ו- "</w:t>
      </w:r>
      <w:r>
        <w:rPr>
          <w:rFonts w:ascii="Arial" w:hAnsi="Arial"/>
          <w:b/>
          <w:bCs/>
          <w:noProof w:val="0"/>
          <w:rtl/>
        </w:rPr>
        <w:t>ההחלטה</w:t>
      </w:r>
      <w:r>
        <w:rPr>
          <w:rFonts w:ascii="Arial" w:hAnsi="Arial"/>
          <w:noProof w:val="0"/>
          <w:rtl/>
        </w:rPr>
        <w:t xml:space="preserve"> </w:t>
      </w:r>
      <w:r>
        <w:rPr>
          <w:rFonts w:ascii="Arial" w:hAnsi="Arial"/>
          <w:b/>
          <w:bCs/>
          <w:noProof w:val="0"/>
          <w:rtl/>
        </w:rPr>
        <w:t>קמא</w:t>
      </w:r>
      <w:r>
        <w:rPr>
          <w:rFonts w:ascii="Arial" w:hAnsi="Arial"/>
          <w:noProof w:val="0"/>
          <w:rtl/>
        </w:rPr>
        <w:t>" בהתאמה), והכל כפי שיפורט להלן.</w:t>
      </w:r>
    </w:p>
    <w:p w:rsidR="002A709C" w:rsidRDefault="002A709C" w:rsidP="002A709C">
      <w:pPr>
        <w:spacing w:after="120" w:line="360" w:lineRule="auto"/>
        <w:ind w:left="720" w:hanging="720"/>
        <w:jc w:val="both"/>
        <w:rPr>
          <w:rFonts w:ascii="Arial" w:hAnsi="Arial"/>
          <w:noProof w:val="0"/>
          <w:rtl/>
        </w:rPr>
      </w:pPr>
    </w:p>
    <w:p w:rsidR="002A709C" w:rsidRDefault="002A709C" w:rsidP="002A709C">
      <w:pPr>
        <w:spacing w:after="120" w:line="360" w:lineRule="auto"/>
        <w:ind w:left="720" w:hanging="720"/>
        <w:jc w:val="both"/>
        <w:rPr>
          <w:rFonts w:ascii="Arial" w:hAnsi="Arial"/>
          <w:b/>
          <w:bCs/>
          <w:noProof w:val="0"/>
          <w:u w:val="single"/>
          <w:rtl/>
        </w:rPr>
      </w:pPr>
      <w:r>
        <w:rPr>
          <w:rFonts w:ascii="Arial" w:hAnsi="Arial"/>
          <w:b/>
          <w:bCs/>
          <w:noProof w:val="0"/>
          <w:u w:val="single"/>
          <w:rtl/>
        </w:rPr>
        <w:t>רקע וההחלטה קמא</w:t>
      </w:r>
    </w:p>
    <w:p w:rsidR="002A709C" w:rsidRDefault="002A709C" w:rsidP="002A709C">
      <w:pPr>
        <w:spacing w:after="120" w:line="360" w:lineRule="auto"/>
        <w:ind w:left="720" w:hanging="720"/>
        <w:jc w:val="both"/>
        <w:rPr>
          <w:rFonts w:asciiTheme="minorHAnsi" w:hAnsiTheme="minorHAnsi"/>
          <w:noProof w:val="0"/>
        </w:rPr>
      </w:pPr>
      <w:r>
        <w:rPr>
          <w:rFonts w:ascii="Arial" w:hAnsi="Arial"/>
          <w:noProof w:val="0"/>
          <w:rtl/>
        </w:rPr>
        <w:t>2.</w:t>
      </w:r>
      <w:r>
        <w:rPr>
          <w:rFonts w:ascii="Arial" w:hAnsi="Arial"/>
          <w:noProof w:val="0"/>
          <w:rtl/>
        </w:rPr>
        <w:tab/>
      </w:r>
      <w:r>
        <w:rPr>
          <w:rFonts w:ascii="David" w:hAnsi="David"/>
          <w:noProof w:val="0"/>
          <w:rtl/>
        </w:rPr>
        <w:t>המבקשת והמשיב (להלן גם: "</w:t>
      </w:r>
      <w:r>
        <w:rPr>
          <w:rFonts w:ascii="David" w:hAnsi="David"/>
          <w:b/>
          <w:bCs/>
          <w:noProof w:val="0"/>
          <w:rtl/>
        </w:rPr>
        <w:t>הצדדים</w:t>
      </w:r>
      <w:r>
        <w:rPr>
          <w:rFonts w:ascii="David" w:hAnsi="David"/>
          <w:noProof w:val="0"/>
          <w:rtl/>
        </w:rPr>
        <w:t>" ו- "</w:t>
      </w:r>
      <w:r>
        <w:rPr>
          <w:rFonts w:ascii="David" w:hAnsi="David"/>
          <w:b/>
          <w:bCs/>
          <w:noProof w:val="0"/>
          <w:rtl/>
        </w:rPr>
        <w:t>האם</w:t>
      </w:r>
      <w:r>
        <w:rPr>
          <w:rFonts w:ascii="David" w:hAnsi="David"/>
          <w:noProof w:val="0"/>
          <w:rtl/>
        </w:rPr>
        <w:t>" ו-"</w:t>
      </w:r>
      <w:r>
        <w:rPr>
          <w:rFonts w:ascii="David" w:hAnsi="David"/>
          <w:b/>
          <w:bCs/>
          <w:noProof w:val="0"/>
          <w:rtl/>
        </w:rPr>
        <w:t>האב</w:t>
      </w:r>
      <w:r>
        <w:rPr>
          <w:rFonts w:ascii="David" w:hAnsi="David"/>
          <w:noProof w:val="0"/>
          <w:rtl/>
        </w:rPr>
        <w:t xml:space="preserve">" בהתאמה) יהודים, נישאו זל"ז כדמו"י בשנת 2013. לשניהם היו אלה נישואים שניים. </w:t>
      </w:r>
      <w:r>
        <w:rPr>
          <w:rFonts w:asciiTheme="minorHAnsi" w:hAnsiTheme="minorHAnsi"/>
          <w:noProof w:val="0"/>
          <w:rtl/>
        </w:rPr>
        <w:t xml:space="preserve">מנישואים אלה נולד הקטין שפרטיו בכותרת. נישואי הצדדים עלו על שרטון במהלך שנת 2024; בחודש יוני 2024 פתחה המבקשת את התיק קמא ליישוב סכסוך, שנסגר ביום 31.7.24. </w:t>
      </w:r>
    </w:p>
    <w:p w:rsidR="002A709C" w:rsidRDefault="002A709C" w:rsidP="002A709C">
      <w:pPr>
        <w:spacing w:after="120" w:line="360" w:lineRule="auto"/>
        <w:ind w:left="720" w:hanging="720"/>
        <w:jc w:val="both"/>
        <w:rPr>
          <w:rFonts w:asciiTheme="minorHAnsi" w:hAnsiTheme="minorHAnsi"/>
          <w:noProof w:val="0"/>
          <w:rtl/>
        </w:rPr>
      </w:pPr>
      <w:r>
        <w:rPr>
          <w:rFonts w:asciiTheme="minorHAnsi" w:hAnsiTheme="minorHAnsi"/>
          <w:noProof w:val="0"/>
          <w:rtl/>
        </w:rPr>
        <w:tab/>
        <w:t>ביום 7.8.24 הגישה המבקשת בקשה בתיק קמא</w:t>
      </w:r>
      <w:r>
        <w:rPr>
          <w:rFonts w:asciiTheme="minorHAnsi" w:hAnsiTheme="minorHAnsi" w:hint="cs"/>
          <w:noProof w:val="0"/>
          <w:rtl/>
        </w:rPr>
        <w:t xml:space="preserve"> (שנסגר כאמור)</w:t>
      </w:r>
      <w:r>
        <w:rPr>
          <w:rFonts w:asciiTheme="minorHAnsi" w:hAnsiTheme="minorHAnsi"/>
          <w:noProof w:val="0"/>
          <w:rtl/>
        </w:rPr>
        <w:t>, לחיוב המשיב במזונות זמניים עבור הקטין.</w:t>
      </w:r>
    </w:p>
    <w:p w:rsidR="002A709C" w:rsidRDefault="002A709C" w:rsidP="002A709C">
      <w:pPr>
        <w:spacing w:after="120" w:line="360" w:lineRule="auto"/>
        <w:ind w:left="720" w:hanging="720"/>
        <w:jc w:val="both"/>
        <w:rPr>
          <w:rFonts w:ascii="Arial" w:hAnsi="Arial"/>
          <w:noProof w:val="0"/>
          <w:rtl/>
        </w:rPr>
      </w:pPr>
      <w:r>
        <w:rPr>
          <w:rFonts w:asciiTheme="minorHAnsi" w:hAnsiTheme="minorHAnsi"/>
          <w:noProof w:val="0"/>
          <w:rtl/>
        </w:rPr>
        <w:t>3.</w:t>
      </w:r>
      <w:r>
        <w:rPr>
          <w:rFonts w:asciiTheme="minorHAnsi" w:hAnsiTheme="minorHAnsi"/>
          <w:noProof w:val="0"/>
          <w:rtl/>
        </w:rPr>
        <w:tab/>
      </w:r>
      <w:r>
        <w:rPr>
          <w:rFonts w:ascii="David" w:hAnsi="David"/>
          <w:rtl/>
        </w:rPr>
        <w:t xml:space="preserve">לטענת המבקשת בבקשתה קמא, המשיב </w:t>
      </w:r>
      <w:r>
        <w:rPr>
          <w:rFonts w:ascii="Arial" w:hAnsi="Arial"/>
          <w:noProof w:val="0"/>
          <w:rtl/>
        </w:rPr>
        <w:t>סילק את המבקשת מהבית יחד עם בנם הקטין בחודש מאי 2024.</w:t>
      </w:r>
    </w:p>
    <w:p w:rsidR="002A709C" w:rsidRDefault="002A709C" w:rsidP="002A709C">
      <w:pPr>
        <w:spacing w:after="120" w:line="360" w:lineRule="auto"/>
        <w:ind w:left="720" w:hanging="720"/>
        <w:jc w:val="both"/>
        <w:rPr>
          <w:rFonts w:ascii="Arial" w:hAnsi="Arial"/>
          <w:noProof w:val="0"/>
          <w:rtl/>
        </w:rPr>
      </w:pPr>
      <w:r>
        <w:rPr>
          <w:rFonts w:ascii="Arial" w:hAnsi="Arial"/>
          <w:noProof w:val="0"/>
          <w:rtl/>
        </w:rPr>
        <w:tab/>
        <w:t>המבקשת מתגוררת עם הקטין בשכירות ונושאת בתשלום דמי שכירות בסך של 3,000 ₪ וכן בתשלום הוצאות אחזקת הבית בסך כולל של 1,119 ₪: ארנונה בסך 250 ₪, מים בסך 150 ₪, גז בסך 100 ₪, תקשורת בסך 119 ₪, חשמל בסך 400 ₪ וועד בית בסך 100 ₪. לא מתקיימים זמני שהות כלל בין המשיב לבין הקטין.</w:t>
      </w:r>
    </w:p>
    <w:p w:rsidR="002A709C" w:rsidRDefault="00462F68" w:rsidP="002A709C">
      <w:pPr>
        <w:spacing w:after="120" w:line="360" w:lineRule="auto"/>
        <w:ind w:left="720" w:hanging="720"/>
        <w:jc w:val="both"/>
        <w:rPr>
          <w:rFonts w:ascii="David" w:hAnsi="David"/>
          <w:rtl/>
        </w:rPr>
      </w:pPr>
      <w:r>
        <w:rPr>
          <w:rFonts w:ascii="Arial" w:hAnsi="Arial"/>
          <w:noProof w:val="0"/>
          <w:rtl/>
        </w:rPr>
        <w:lastRenderedPageBreak/>
        <w:tab/>
        <w:t>המבקשת עובדת כ</w:t>
      </w:r>
      <w:r>
        <w:rPr>
          <w:rFonts w:ascii="Arial" w:hAnsi="Arial" w:hint="cs"/>
          <w:noProof w:val="0"/>
          <w:rtl/>
        </w:rPr>
        <w:t>...</w:t>
      </w:r>
      <w:r w:rsidR="002A709C">
        <w:rPr>
          <w:rFonts w:ascii="Arial" w:hAnsi="Arial"/>
          <w:noProof w:val="0"/>
          <w:rtl/>
        </w:rPr>
        <w:t xml:space="preserve"> ומשתכרת בסך של כ- 6,500 ₪ בחודש. בנוסף, זכאית המבקשת לקצבת ילדים בסך 150 ₪. </w:t>
      </w:r>
    </w:p>
    <w:p w:rsidR="002A709C" w:rsidRDefault="002A709C" w:rsidP="002A709C">
      <w:pPr>
        <w:spacing w:after="120" w:line="360" w:lineRule="auto"/>
        <w:ind w:left="720" w:hanging="720"/>
        <w:jc w:val="both"/>
        <w:rPr>
          <w:rFonts w:ascii="Arial" w:hAnsi="Arial"/>
          <w:noProof w:val="0"/>
          <w:rtl/>
        </w:rPr>
      </w:pPr>
      <w:r>
        <w:rPr>
          <w:rFonts w:ascii="David" w:hAnsi="David"/>
          <w:rtl/>
        </w:rPr>
        <w:tab/>
        <w:t xml:space="preserve">לטענת המבקשת, </w:t>
      </w:r>
      <w:r>
        <w:rPr>
          <w:rFonts w:ascii="Arial" w:hAnsi="Arial"/>
          <w:noProof w:val="0"/>
          <w:rtl/>
        </w:rPr>
        <w:t>הכנסותיו החודשיות של המשיב עומדות על סך של כ- 16,900 ₪, המורכבים משכר עבודתו, קצבת נכות בסך 2,400 ₪ והכנסה שאיננה מדווחת בסך של 3,500 ₪ בחודש.</w:t>
      </w:r>
    </w:p>
    <w:p w:rsidR="002A709C" w:rsidRDefault="002A709C" w:rsidP="002A709C">
      <w:pPr>
        <w:spacing w:after="120" w:line="360" w:lineRule="auto"/>
        <w:ind w:left="720" w:hanging="720"/>
        <w:jc w:val="both"/>
        <w:rPr>
          <w:rFonts w:ascii="Arial" w:hAnsi="Arial"/>
          <w:noProof w:val="0"/>
          <w:rtl/>
        </w:rPr>
      </w:pPr>
      <w:r>
        <w:rPr>
          <w:rFonts w:ascii="Arial" w:hAnsi="Arial"/>
          <w:noProof w:val="0"/>
          <w:rtl/>
        </w:rPr>
        <w:tab/>
        <w:t>המבקשת העריכה את הוצאות הקטין בסך כולל של 3,200 ₪ לחודש כדלקמן: מזון והיגיינה בסך 2,000 ₪, ביגוד והנעלה בסך 600 ₪, משחקים וספרים בסך 250 ₪, הוצאות רפואיות וביטוח חיים ובריאות בסך 350 ₪.</w:t>
      </w:r>
    </w:p>
    <w:p w:rsidR="002A709C" w:rsidRDefault="002A709C" w:rsidP="002A709C">
      <w:pPr>
        <w:spacing w:after="120" w:line="360" w:lineRule="auto"/>
        <w:ind w:left="720" w:hanging="720"/>
        <w:jc w:val="both"/>
        <w:rPr>
          <w:rFonts w:ascii="Arial" w:hAnsi="Arial"/>
          <w:noProof w:val="0"/>
          <w:rtl/>
        </w:rPr>
      </w:pPr>
      <w:r>
        <w:rPr>
          <w:rFonts w:ascii="Arial" w:hAnsi="Arial"/>
          <w:noProof w:val="0"/>
          <w:rtl/>
        </w:rPr>
        <w:tab/>
        <w:t>המבקשת ביקשה לחייב את המשיב לשאת ב-30% מהוצאות המדור בסך כולל של 1,235 ₪ וכן במזונות הקטין כך שדמי מזונות ומדור יעמדו על סך של 4,435 ₪. המבקשת ביקשה כי החיוב במזונות יחול רטרואקטיבי החל מיום עזיבתם את הבית המשותף ביום 04.05.24. כן ביקשה המבקשת לחייב את המשיב במחצית הוצאות חינוך ובריאות עבור הקטין.</w:t>
      </w:r>
    </w:p>
    <w:p w:rsidR="002A709C" w:rsidRDefault="002A709C" w:rsidP="002A709C">
      <w:pPr>
        <w:spacing w:after="120" w:line="360" w:lineRule="auto"/>
        <w:ind w:left="720" w:hanging="720"/>
        <w:jc w:val="both"/>
        <w:rPr>
          <w:rFonts w:ascii="Arial" w:hAnsi="Arial"/>
          <w:noProof w:val="0"/>
          <w:rtl/>
        </w:rPr>
      </w:pPr>
      <w:r>
        <w:rPr>
          <w:rFonts w:ascii="Arial" w:hAnsi="Arial"/>
          <w:noProof w:val="0"/>
          <w:rtl/>
        </w:rPr>
        <w:t>4.</w:t>
      </w:r>
      <w:r>
        <w:rPr>
          <w:rFonts w:ascii="Arial" w:hAnsi="Arial"/>
          <w:noProof w:val="0"/>
          <w:rtl/>
        </w:rPr>
        <w:tab/>
        <w:t xml:space="preserve">המשיב טען בתגובתו לבקשה קמא, כי בכוונתו להגיש בקשה בעניין זמני שהות עם הקטין. שכרה החודשי של המבקשת עומד על סך של כ- 8,500 ₪, הזהה לשכרו. המבקשת אף הגישה בקשה לקבלת קצבת ילד נכה עבור הקטין. </w:t>
      </w:r>
    </w:p>
    <w:p w:rsidR="002A709C" w:rsidRDefault="002A709C" w:rsidP="002A709C">
      <w:pPr>
        <w:spacing w:after="120" w:line="360" w:lineRule="auto"/>
        <w:ind w:left="720" w:hanging="720"/>
        <w:jc w:val="both"/>
        <w:rPr>
          <w:rFonts w:ascii="Arial" w:hAnsi="Arial"/>
          <w:noProof w:val="0"/>
          <w:rtl/>
        </w:rPr>
      </w:pPr>
      <w:r>
        <w:rPr>
          <w:rFonts w:ascii="Arial" w:hAnsi="Arial"/>
          <w:noProof w:val="0"/>
          <w:rtl/>
        </w:rPr>
        <w:tab/>
        <w:t xml:space="preserve">עוד טען המשיב, כי הוא מגדל שני ילדים קטינים (מנישואיו הראשונים) כאשר אחד מהם הינו ילד נכה. המשיב הציג אסמכתאות בדבר קבלת קצבת ילד נכה עבור בנו בסך 3,479 ₪ וכן גמלת נכות מעבודה לה הוא זכאי בסך של 2,259 ₪. </w:t>
      </w:r>
    </w:p>
    <w:p w:rsidR="002A709C" w:rsidRDefault="002A709C" w:rsidP="002A709C">
      <w:pPr>
        <w:spacing w:after="120" w:line="360" w:lineRule="auto"/>
        <w:ind w:left="720" w:hanging="720"/>
        <w:jc w:val="both"/>
        <w:rPr>
          <w:rFonts w:ascii="Arial" w:hAnsi="Arial"/>
          <w:noProof w:val="0"/>
          <w:rtl/>
        </w:rPr>
      </w:pPr>
      <w:r>
        <w:rPr>
          <w:rFonts w:ascii="Arial" w:hAnsi="Arial"/>
          <w:noProof w:val="0"/>
          <w:rtl/>
        </w:rPr>
        <w:tab/>
        <w:t xml:space="preserve">המשיב טען כי </w:t>
      </w:r>
      <w:r>
        <w:rPr>
          <w:rFonts w:ascii="Arial" w:hAnsi="Arial"/>
          <w:b/>
          <w:bCs/>
          <w:noProof w:val="0"/>
          <w:rtl/>
        </w:rPr>
        <w:t>הוצאותיו החודשיות עומדות על סך של כ- 15,300 ₪</w:t>
      </w:r>
      <w:r>
        <w:rPr>
          <w:rFonts w:ascii="Arial" w:hAnsi="Arial"/>
          <w:noProof w:val="0"/>
          <w:rtl/>
        </w:rPr>
        <w:t xml:space="preserve"> הכוללות בין היתר שכר דירה ואחזקתה, כלכלה, נסיעות, טיפולי שיניים ופסיכולוג לבנו הקטין מנישואיו הראשונים, מזונות לבן השני, החזרי חובות להוצל"פ ורשות המיסים. </w:t>
      </w:r>
    </w:p>
    <w:p w:rsidR="002A709C" w:rsidRDefault="002A709C" w:rsidP="002A709C">
      <w:pPr>
        <w:spacing w:after="120" w:line="360" w:lineRule="auto"/>
        <w:ind w:left="720" w:hanging="720"/>
        <w:jc w:val="both"/>
        <w:rPr>
          <w:rFonts w:ascii="Arial" w:hAnsi="Arial"/>
          <w:noProof w:val="0"/>
          <w:rtl/>
        </w:rPr>
      </w:pPr>
      <w:r>
        <w:rPr>
          <w:rFonts w:ascii="Arial" w:hAnsi="Arial"/>
          <w:noProof w:val="0"/>
          <w:rtl/>
        </w:rPr>
        <w:tab/>
        <w:t>המשיב טען כי בנסיבות ולנוכח נכותו, יש לפסוק מזונות קבועים בסך 1,500 ₪ עבור כלל הוצאות הקטין.</w:t>
      </w:r>
    </w:p>
    <w:p w:rsidR="002A709C" w:rsidRDefault="002A709C" w:rsidP="007417E4">
      <w:pPr>
        <w:spacing w:after="120" w:line="360" w:lineRule="auto"/>
        <w:ind w:left="720" w:hanging="720"/>
        <w:jc w:val="both"/>
        <w:rPr>
          <w:rFonts w:ascii="Arial" w:hAnsi="Arial"/>
          <w:rtl/>
        </w:rPr>
      </w:pPr>
      <w:r>
        <w:rPr>
          <w:rFonts w:ascii="David" w:hAnsi="David"/>
          <w:rtl/>
        </w:rPr>
        <w:t>5.</w:t>
      </w:r>
      <w:r>
        <w:rPr>
          <w:rFonts w:ascii="David" w:hAnsi="David"/>
          <w:rtl/>
        </w:rPr>
        <w:tab/>
      </w:r>
      <w:r>
        <w:rPr>
          <w:rFonts w:ascii="David" w:hAnsi="David"/>
          <w:u w:val="single"/>
          <w:rtl/>
        </w:rPr>
        <w:t>ביום 4.9.2024 ניתנה ההחלטה קמא. להלן עיקריה</w:t>
      </w:r>
      <w:r>
        <w:rPr>
          <w:rFonts w:ascii="David" w:hAnsi="David"/>
          <w:rtl/>
        </w:rPr>
        <w:t>:</w:t>
      </w:r>
    </w:p>
    <w:p w:rsidR="002A709C" w:rsidRDefault="002A709C" w:rsidP="007417E4">
      <w:pPr>
        <w:pStyle w:val="ad"/>
        <w:spacing w:after="120" w:line="360" w:lineRule="auto"/>
        <w:contextualSpacing w:val="0"/>
        <w:jc w:val="both"/>
        <w:rPr>
          <w:noProof w:val="0"/>
          <w:rtl/>
        </w:rPr>
      </w:pPr>
      <w:r>
        <w:rPr>
          <w:rFonts w:ascii="Arial" w:hAnsi="Arial"/>
          <w:b/>
          <w:bCs/>
          <w:rtl/>
        </w:rPr>
        <w:t>לעניין הכנסות המבקשת</w:t>
      </w:r>
      <w:r>
        <w:rPr>
          <w:rFonts w:ascii="Arial" w:hAnsi="Arial"/>
          <w:rtl/>
        </w:rPr>
        <w:t xml:space="preserve"> נקבע, כי </w:t>
      </w:r>
      <w:r>
        <w:rPr>
          <w:rFonts w:ascii="Arial" w:hAnsi="Arial"/>
          <w:noProof w:val="0"/>
          <w:rtl/>
        </w:rPr>
        <w:t xml:space="preserve">השתכרותה עומדת על סך של 8,480 ₪ לחודש נטו; </w:t>
      </w:r>
      <w:r>
        <w:rPr>
          <w:noProof w:val="0"/>
          <w:rtl/>
        </w:rPr>
        <w:t>המבקשת מתגוררת עם הקטין ומשלמת דמי שכירות בסך 3,000 ₪</w:t>
      </w:r>
      <w:r>
        <w:rPr>
          <w:rFonts w:ascii="Arial" w:hAnsi="Arial"/>
          <w:noProof w:val="0"/>
          <w:rtl/>
        </w:rPr>
        <w:t xml:space="preserve">; </w:t>
      </w:r>
      <w:r>
        <w:rPr>
          <w:noProof w:val="0"/>
          <w:rtl/>
        </w:rPr>
        <w:t xml:space="preserve">המבקשת ניהלה הליך חדלות פירעון במסגרתו קיבלה בחודש 07/24 לחשבונה "כספי פיצויים ותגמולים" בסך כולל של 18,300 ₪ שנמשכו ממעסיקי עבר, וכן קיבלה בחודש 6/24 סך של 6,408 ₪ בגין כספים שנותרו בקופת הנאמן בסיום הליך החדל"פ. </w:t>
      </w:r>
    </w:p>
    <w:p w:rsidR="002A709C" w:rsidRDefault="002A709C" w:rsidP="007417E4">
      <w:pPr>
        <w:pStyle w:val="ad"/>
        <w:spacing w:after="120" w:line="360" w:lineRule="auto"/>
        <w:contextualSpacing w:val="0"/>
        <w:jc w:val="both"/>
        <w:rPr>
          <w:rFonts w:ascii="Arial" w:hAnsi="Arial"/>
          <w:noProof w:val="0"/>
          <w:rtl/>
        </w:rPr>
      </w:pPr>
      <w:r>
        <w:rPr>
          <w:rFonts w:ascii="Arial" w:hAnsi="Arial"/>
          <w:b/>
          <w:bCs/>
          <w:rtl/>
        </w:rPr>
        <w:t xml:space="preserve">לעניין הכנסות המשיב </w:t>
      </w:r>
      <w:r>
        <w:rPr>
          <w:rFonts w:ascii="Arial" w:hAnsi="Arial"/>
          <w:rtl/>
        </w:rPr>
        <w:t xml:space="preserve">נקבע, </w:t>
      </w:r>
      <w:r>
        <w:rPr>
          <w:rFonts w:ascii="Arial" w:hAnsi="Arial"/>
          <w:noProof w:val="0"/>
          <w:rtl/>
        </w:rPr>
        <w:t xml:space="preserve">כי השתכרותו החודשית עמדה על סך של 10,662 ₪ נטו; </w:t>
      </w:r>
      <w:r>
        <w:rPr>
          <w:noProof w:val="0"/>
          <w:rtl/>
        </w:rPr>
        <w:t xml:space="preserve">בנוסף, לתא המשפחתי של המשיב הכנסות נוספות שמקורן בקצבת ילד נכה בסך 3,479 ש"ח וגמלת נכות מעבודה בסך 2,259 ₪; </w:t>
      </w:r>
      <w:r>
        <w:rPr>
          <w:rFonts w:ascii="Arial" w:hAnsi="Arial"/>
          <w:noProof w:val="0"/>
          <w:rtl/>
        </w:rPr>
        <w:t xml:space="preserve">למשיב שני ילדים קטינים כבני 17 הנמצאים במשמורתו; </w:t>
      </w:r>
      <w:r>
        <w:rPr>
          <w:noProof w:val="0"/>
          <w:rtl/>
        </w:rPr>
        <w:t xml:space="preserve">סה"כ הכנסת התא המשפחתי של האב עומדת על סך של כ- 16,400 ₪. המשיב הציג הסכם שכירות המלמד על תשלום דמי שכירות בסך 3,500 ₪. </w:t>
      </w:r>
    </w:p>
    <w:p w:rsidR="002A709C" w:rsidRDefault="002A709C" w:rsidP="007417E4">
      <w:pPr>
        <w:pStyle w:val="ad"/>
        <w:spacing w:after="120" w:line="360" w:lineRule="auto"/>
        <w:contextualSpacing w:val="0"/>
        <w:jc w:val="both"/>
        <w:rPr>
          <w:rFonts w:ascii="Arial" w:hAnsi="Arial"/>
          <w:noProof w:val="0"/>
          <w:rtl/>
        </w:rPr>
      </w:pPr>
      <w:r>
        <w:rPr>
          <w:rFonts w:ascii="Arial" w:hAnsi="Arial"/>
          <w:b/>
          <w:bCs/>
          <w:noProof w:val="0"/>
          <w:rtl/>
        </w:rPr>
        <w:lastRenderedPageBreak/>
        <w:t xml:space="preserve">צרכיו ההכרחיים של הקטין, ללא דמי מדור והחזקתו, </w:t>
      </w:r>
      <w:r w:rsidR="00A01B3C">
        <w:rPr>
          <w:rFonts w:ascii="Arial" w:hAnsi="Arial" w:hint="cs"/>
          <w:b/>
          <w:bCs/>
          <w:noProof w:val="0"/>
          <w:rtl/>
        </w:rPr>
        <w:t>הוערכו ו</w:t>
      </w:r>
      <w:r>
        <w:rPr>
          <w:rFonts w:ascii="Arial" w:hAnsi="Arial"/>
          <w:b/>
          <w:bCs/>
          <w:noProof w:val="0"/>
          <w:rtl/>
        </w:rPr>
        <w:t>הועמדו בשלב זה על סך של 1,600 ₪.</w:t>
      </w:r>
    </w:p>
    <w:p w:rsidR="002A709C" w:rsidRDefault="002A709C" w:rsidP="007417E4">
      <w:pPr>
        <w:spacing w:after="120" w:line="360" w:lineRule="auto"/>
        <w:ind w:left="720"/>
        <w:jc w:val="both"/>
        <w:rPr>
          <w:noProof w:val="0"/>
          <w:rtl/>
        </w:rPr>
      </w:pPr>
      <w:r>
        <w:rPr>
          <w:b/>
          <w:bCs/>
          <w:noProof w:val="0"/>
          <w:rtl/>
        </w:rPr>
        <w:t>דמי מדור ואחזקתו עבור הקטין</w:t>
      </w:r>
      <w:r>
        <w:rPr>
          <w:noProof w:val="0"/>
          <w:rtl/>
        </w:rPr>
        <w:t>, הועמדו על 30% וסה"כ 1236 ₪ לחודש; סך זה הורכב מ-3000 ₪ דמי שכירות חודשיים וכן 30% מדמי אחזקת המדור החודשיים, כפי שפירטה המבקשת בבקשתה (1119 ₪).</w:t>
      </w:r>
    </w:p>
    <w:p w:rsidR="002A709C" w:rsidRDefault="002A709C" w:rsidP="007417E4">
      <w:pPr>
        <w:spacing w:after="120" w:line="360" w:lineRule="auto"/>
        <w:ind w:left="720"/>
        <w:jc w:val="both"/>
        <w:rPr>
          <w:noProof w:val="0"/>
          <w:rtl/>
        </w:rPr>
      </w:pPr>
      <w:r>
        <w:rPr>
          <w:b/>
          <w:bCs/>
          <w:noProof w:val="0"/>
          <w:rtl/>
        </w:rPr>
        <w:t xml:space="preserve">לעניין זמני שהות המשיב עם הקטין </w:t>
      </w:r>
      <w:r>
        <w:rPr>
          <w:noProof w:val="0"/>
          <w:rtl/>
        </w:rPr>
        <w:t xml:space="preserve">נקבע כי </w:t>
      </w:r>
      <w:r>
        <w:rPr>
          <w:rtl/>
        </w:rPr>
        <w:t>נראה שלא מתקיימים זמני שהות כלל</w:t>
      </w:r>
      <w:r w:rsidR="00A01B3C">
        <w:rPr>
          <w:rFonts w:hint="cs"/>
          <w:rtl/>
        </w:rPr>
        <w:t>,</w:t>
      </w:r>
      <w:r>
        <w:rPr>
          <w:rtl/>
        </w:rPr>
        <w:t xml:space="preserve"> וכל הוצאותיו של הקטין מוטלים על המבקשת.</w:t>
      </w:r>
    </w:p>
    <w:p w:rsidR="002A709C" w:rsidRDefault="002A709C" w:rsidP="007417E4">
      <w:pPr>
        <w:spacing w:after="120" w:line="360" w:lineRule="auto"/>
        <w:ind w:left="720"/>
        <w:jc w:val="both"/>
        <w:rPr>
          <w:noProof w:val="0"/>
          <w:rtl/>
        </w:rPr>
      </w:pPr>
      <w:r>
        <w:rPr>
          <w:b/>
          <w:bCs/>
          <w:noProof w:val="0"/>
          <w:rtl/>
        </w:rPr>
        <w:t xml:space="preserve">בשקלול כל המפורט לעיל, נקבע כי </w:t>
      </w:r>
      <w:r>
        <w:rPr>
          <w:rFonts w:ascii="David" w:hAnsi="David"/>
          <w:b/>
          <w:bCs/>
          <w:rtl/>
        </w:rPr>
        <w:t>המשיב יישא במזונות הקטין, מדורו והוצאות אחזקת המדור בסך כולל של 1800 ₪ לחודש</w:t>
      </w:r>
      <w:r>
        <w:rPr>
          <w:rFonts w:ascii="David" w:hAnsi="David"/>
          <w:rtl/>
        </w:rPr>
        <w:t>, שישולמו החל ממועד הבקשה ליישוב סכסוך (23.6.24) ועד למתן החלטה אחרת.</w:t>
      </w:r>
    </w:p>
    <w:p w:rsidR="002A709C" w:rsidRDefault="002A709C" w:rsidP="007417E4">
      <w:pPr>
        <w:pStyle w:val="ad"/>
        <w:spacing w:after="120" w:line="360" w:lineRule="auto"/>
        <w:contextualSpacing w:val="0"/>
        <w:jc w:val="both"/>
        <w:rPr>
          <w:rFonts w:ascii="Arial" w:hAnsi="Arial"/>
          <w:noProof w:val="0"/>
          <w:rtl/>
        </w:rPr>
      </w:pPr>
      <w:r>
        <w:rPr>
          <w:rFonts w:ascii="Arial" w:hAnsi="Arial"/>
          <w:noProof w:val="0"/>
          <w:rtl/>
        </w:rPr>
        <w:t>עוד נקבע בהחלטה קמא (סעיף 27), כי "</w:t>
      </w:r>
      <w:r>
        <w:rPr>
          <w:rFonts w:ascii="Arial" w:hAnsi="Arial"/>
          <w:b/>
          <w:bCs/>
          <w:noProof w:val="0"/>
          <w:rtl/>
        </w:rPr>
        <w:t xml:space="preserve">החלטתי זו והמזונות הזמניים יעמדו בתוקפם למשך 5 חודשים מהיום </w:t>
      </w:r>
      <w:r>
        <w:rPr>
          <w:rFonts w:ascii="Arial" w:hAnsi="Arial"/>
          <w:noProof w:val="0"/>
          <w:rtl/>
        </w:rPr>
        <w:t>(יום מתן ההחלטה קמא - 4.9.24, ח"ש)</w:t>
      </w:r>
      <w:r>
        <w:rPr>
          <w:rFonts w:ascii="Arial" w:hAnsi="Arial"/>
          <w:b/>
          <w:bCs/>
          <w:noProof w:val="0"/>
          <w:rtl/>
        </w:rPr>
        <w:t xml:space="preserve"> ככל שלא תוגש תביעה / עתירה מתאימה. ככל שתוגש עתירה למזונות – תעמוד החלטתי זו על כנה עד החלטה אחרת שתינתן בה". </w:t>
      </w:r>
    </w:p>
    <w:p w:rsidR="002A709C" w:rsidRDefault="002A709C" w:rsidP="007417E4">
      <w:pPr>
        <w:spacing w:after="120" w:line="360" w:lineRule="auto"/>
        <w:ind w:left="720"/>
        <w:jc w:val="both"/>
        <w:rPr>
          <w:rFonts w:ascii="Arial" w:hAnsi="Arial"/>
        </w:rPr>
      </w:pPr>
      <w:r>
        <w:rPr>
          <w:rFonts w:ascii="Arial" w:hAnsi="Arial"/>
          <w:rtl/>
        </w:rPr>
        <w:t>בגין החלטה זו הוגשה בקשת רשות הערעור דנן.</w:t>
      </w:r>
    </w:p>
    <w:p w:rsidR="002A709C" w:rsidRDefault="002A709C" w:rsidP="007417E4">
      <w:pPr>
        <w:spacing w:after="120" w:line="360" w:lineRule="auto"/>
        <w:ind w:left="720" w:hanging="720"/>
        <w:jc w:val="both"/>
        <w:rPr>
          <w:rFonts w:ascii="Arial" w:hAnsi="Arial"/>
          <w:noProof w:val="0"/>
          <w:rtl/>
        </w:rPr>
      </w:pPr>
      <w:r>
        <w:rPr>
          <w:rFonts w:ascii="Arial" w:hAnsi="Arial"/>
          <w:noProof w:val="0"/>
          <w:rtl/>
        </w:rPr>
        <w:t>6.</w:t>
      </w:r>
      <w:r>
        <w:rPr>
          <w:rFonts w:ascii="Arial" w:hAnsi="Arial"/>
          <w:noProof w:val="0"/>
          <w:rtl/>
        </w:rPr>
        <w:tab/>
        <w:t>בו ביום מתן ההחלטה קמא, 4.9.24, הגישה המבקשת כאן, "</w:t>
      </w:r>
      <w:r>
        <w:rPr>
          <w:rFonts w:ascii="Arial" w:hAnsi="Arial"/>
          <w:b/>
          <w:bCs/>
          <w:noProof w:val="0"/>
          <w:rtl/>
        </w:rPr>
        <w:t>בקשה למתן הבהרה</w:t>
      </w:r>
      <w:r>
        <w:rPr>
          <w:rFonts w:ascii="Arial" w:hAnsi="Arial"/>
          <w:noProof w:val="0"/>
          <w:rtl/>
        </w:rPr>
        <w:t>" בתיק קמא, במסגרתה ביקשה כי בית המשפט קמא "</w:t>
      </w:r>
      <w:r>
        <w:rPr>
          <w:rFonts w:ascii="Arial" w:hAnsi="Arial"/>
          <w:b/>
          <w:bCs/>
          <w:noProof w:val="0"/>
          <w:rtl/>
        </w:rPr>
        <w:t>יתן הבהרתו האם דמי מזונות הקטין לרבות רכיב המדור הינם בסך של 1,800 ₪ כפי שצוין בסעיף 22 להחלטה או האם דמי מזונות הקטין נאמדות בסך של 1,600 ₪, בתוספת רכיב המדור בסך של ₪ 1,236 ₪, כפי שנפסק בסעיפים 18-19 להחלטה, קרי סך של 2,836 ₪</w:t>
      </w:r>
      <w:r>
        <w:rPr>
          <w:rFonts w:ascii="Arial" w:hAnsi="Arial"/>
          <w:noProof w:val="0"/>
          <w:rtl/>
        </w:rPr>
        <w:t xml:space="preserve"> ".</w:t>
      </w:r>
    </w:p>
    <w:p w:rsidR="002A709C" w:rsidRDefault="002A709C" w:rsidP="007417E4">
      <w:pPr>
        <w:spacing w:after="120" w:line="360" w:lineRule="auto"/>
        <w:ind w:left="720" w:hanging="720"/>
        <w:jc w:val="both"/>
        <w:rPr>
          <w:rFonts w:ascii="Arial" w:hAnsi="Arial"/>
          <w:noProof w:val="0"/>
          <w:rtl/>
        </w:rPr>
      </w:pPr>
      <w:r>
        <w:rPr>
          <w:rFonts w:ascii="Arial" w:hAnsi="Arial"/>
          <w:noProof w:val="0"/>
          <w:rtl/>
        </w:rPr>
        <w:t>7.</w:t>
      </w:r>
      <w:r>
        <w:rPr>
          <w:rFonts w:ascii="Arial" w:hAnsi="Arial"/>
          <w:noProof w:val="0"/>
          <w:rtl/>
        </w:rPr>
        <w:tab/>
      </w:r>
      <w:r>
        <w:rPr>
          <w:rFonts w:ascii="Arial" w:hAnsi="Arial"/>
          <w:noProof w:val="0"/>
          <w:u w:val="single"/>
          <w:rtl/>
        </w:rPr>
        <w:t>עוד באותו יום 4.9.24 ניתנה החלטת בית משפט קמא בבקשה למתן הבהרה, כהאי לישנא</w:t>
      </w:r>
      <w:r>
        <w:rPr>
          <w:rFonts w:ascii="Arial" w:hAnsi="Arial"/>
          <w:noProof w:val="0"/>
          <w:rtl/>
        </w:rPr>
        <w:t>:</w:t>
      </w:r>
    </w:p>
    <w:p w:rsidR="002A709C" w:rsidRDefault="002A709C" w:rsidP="007417E4">
      <w:pPr>
        <w:spacing w:after="120" w:line="360" w:lineRule="auto"/>
        <w:ind w:left="1417" w:right="1418" w:hanging="1417"/>
        <w:jc w:val="both"/>
        <w:rPr>
          <w:rFonts w:ascii="Arial" w:hAnsi="Arial"/>
          <w:b/>
          <w:bCs/>
          <w:noProof w:val="0"/>
          <w:rtl/>
        </w:rPr>
      </w:pPr>
      <w:r>
        <w:rPr>
          <w:rFonts w:ascii="Arial" w:hAnsi="Arial"/>
          <w:noProof w:val="0"/>
          <w:rtl/>
        </w:rPr>
        <w:tab/>
      </w:r>
      <w:r>
        <w:rPr>
          <w:rFonts w:ascii="Arial" w:hAnsi="Arial"/>
          <w:b/>
          <w:bCs/>
          <w:noProof w:val="0"/>
          <w:rtl/>
        </w:rPr>
        <w:t xml:space="preserve">"בהחלטה מהיום נקבע כי סה"כ צרכי הקטין ללא מדור, על פי אומדנה, הנם 1600 ש"ח לחודש. כן נקבע כי יש לצרף לכך את חלקו של הקטין בהוצאות המדור ואחזקתו בסך כולל של 1236 ש"ח. </w:t>
      </w:r>
    </w:p>
    <w:p w:rsidR="002A709C" w:rsidRDefault="002A709C" w:rsidP="007417E4">
      <w:pPr>
        <w:spacing w:after="120" w:line="360" w:lineRule="auto"/>
        <w:ind w:left="1417" w:right="1418" w:hanging="1417"/>
        <w:jc w:val="both"/>
        <w:rPr>
          <w:rFonts w:ascii="Arial" w:hAnsi="Arial"/>
          <w:b/>
          <w:bCs/>
          <w:noProof w:val="0"/>
          <w:rtl/>
        </w:rPr>
      </w:pPr>
      <w:r>
        <w:rPr>
          <w:rFonts w:ascii="Arial" w:hAnsi="Arial"/>
          <w:b/>
          <w:bCs/>
          <w:noProof w:val="0"/>
          <w:rtl/>
        </w:rPr>
        <w:tab/>
        <w:t xml:space="preserve">בהחלטה נקבע כי בשים לב לגילו של הקטין ולהלכה הפסוקה בכלל הוצאות הקטין צריכים שני ההורים לשאת, בין היתר, בהתאם ליחס הכנסותיהם וזמני השהות. </w:t>
      </w:r>
    </w:p>
    <w:p w:rsidR="002A709C" w:rsidRDefault="002A709C" w:rsidP="007417E4">
      <w:pPr>
        <w:spacing w:after="120" w:line="360" w:lineRule="auto"/>
        <w:ind w:left="1417" w:right="1418" w:hanging="1417"/>
        <w:jc w:val="both"/>
        <w:rPr>
          <w:rFonts w:ascii="Arial" w:hAnsi="Arial"/>
          <w:b/>
          <w:bCs/>
          <w:noProof w:val="0"/>
          <w:rtl/>
        </w:rPr>
      </w:pPr>
      <w:r>
        <w:rPr>
          <w:rFonts w:ascii="Arial" w:hAnsi="Arial"/>
          <w:b/>
          <w:bCs/>
          <w:noProof w:val="0"/>
          <w:rtl/>
        </w:rPr>
        <w:tab/>
        <w:t xml:space="preserve">משכך, ברי כי נפלה טעות סופר בסעיף 19 להחלטה, ואני מורה על תיקונה באופן שירשם כי: "אני מורה כי המשיב יישא גם בתשלום הוצאות המדור ואחזקתו של הקטין בסך של 1236 ש"ח לחודש". </w:t>
      </w:r>
    </w:p>
    <w:p w:rsidR="002A709C" w:rsidRDefault="002A709C" w:rsidP="007417E4">
      <w:pPr>
        <w:spacing w:after="120" w:line="360" w:lineRule="auto"/>
        <w:ind w:left="1417" w:right="1418" w:hanging="1417"/>
        <w:jc w:val="both"/>
        <w:rPr>
          <w:rFonts w:ascii="Arial" w:hAnsi="Arial"/>
          <w:b/>
          <w:bCs/>
          <w:noProof w:val="0"/>
          <w:rtl/>
        </w:rPr>
      </w:pPr>
      <w:r>
        <w:rPr>
          <w:rFonts w:ascii="Arial" w:hAnsi="Arial"/>
          <w:b/>
          <w:bCs/>
          <w:noProof w:val="0"/>
          <w:rtl/>
        </w:rPr>
        <w:tab/>
        <w:t>בסעיף 22 להחלטה נקבע כדבעי אופן הנשיאה בכלל ההוצאות במאוחד (בסך כולל של 2836 ש"ח), כך שהאב ישא בסך של 1800 ₪ לחודש בגין חלקו במזונות ומדור הקטין. כך שתוצאתה האופרטיבית של ההחלטה עומדת על כנה".</w:t>
      </w:r>
    </w:p>
    <w:p w:rsidR="002A709C" w:rsidRDefault="002A709C" w:rsidP="007417E4">
      <w:pPr>
        <w:spacing w:after="120" w:line="360" w:lineRule="auto"/>
        <w:ind w:left="720" w:hanging="720"/>
        <w:jc w:val="both"/>
        <w:rPr>
          <w:rFonts w:ascii="Arial" w:hAnsi="Arial"/>
          <w:b/>
          <w:bCs/>
          <w:noProof w:val="0"/>
          <w:u w:val="single"/>
          <w:rtl/>
        </w:rPr>
      </w:pPr>
      <w:r>
        <w:rPr>
          <w:rFonts w:ascii="Arial" w:hAnsi="Arial"/>
          <w:b/>
          <w:bCs/>
          <w:noProof w:val="0"/>
          <w:u w:val="single"/>
          <w:rtl/>
        </w:rPr>
        <w:lastRenderedPageBreak/>
        <w:t>טענות המבקשת בבקשת רשות הערעור</w:t>
      </w:r>
    </w:p>
    <w:p w:rsidR="002A709C" w:rsidRDefault="002A709C" w:rsidP="007417E4">
      <w:pPr>
        <w:spacing w:after="120" w:line="360" w:lineRule="auto"/>
        <w:ind w:left="720" w:hanging="720"/>
        <w:jc w:val="both"/>
        <w:rPr>
          <w:rFonts w:ascii="Arial" w:hAnsi="Arial"/>
          <w:noProof w:val="0"/>
          <w:rtl/>
        </w:rPr>
      </w:pPr>
      <w:r>
        <w:rPr>
          <w:rFonts w:ascii="Arial" w:hAnsi="Arial"/>
          <w:noProof w:val="0"/>
          <w:rtl/>
        </w:rPr>
        <w:t>8.</w:t>
      </w:r>
      <w:r>
        <w:rPr>
          <w:rFonts w:ascii="Arial" w:hAnsi="Arial"/>
          <w:noProof w:val="0"/>
          <w:rtl/>
        </w:rPr>
        <w:tab/>
      </w:r>
      <w:r>
        <w:rPr>
          <w:rFonts w:ascii="Arial" w:hAnsi="Arial"/>
          <w:noProof w:val="0"/>
          <w:u w:val="single"/>
          <w:rtl/>
        </w:rPr>
        <w:t>להלן תמצית טענות המבקשת בבקשת רשות הערעור</w:t>
      </w:r>
      <w:r>
        <w:rPr>
          <w:rFonts w:ascii="Arial" w:hAnsi="Arial"/>
          <w:noProof w:val="0"/>
          <w:rtl/>
        </w:rPr>
        <w:t>:</w:t>
      </w:r>
    </w:p>
    <w:p w:rsidR="002A709C" w:rsidRDefault="002A709C" w:rsidP="007417E4">
      <w:pPr>
        <w:spacing w:after="120" w:line="360" w:lineRule="auto"/>
        <w:ind w:left="1440" w:hanging="720"/>
        <w:jc w:val="both"/>
        <w:rPr>
          <w:rFonts w:ascii="Arial" w:hAnsi="Arial"/>
          <w:noProof w:val="0"/>
          <w:rtl/>
        </w:rPr>
      </w:pPr>
      <w:r>
        <w:rPr>
          <w:rFonts w:ascii="Arial" w:hAnsi="Arial"/>
          <w:noProof w:val="0"/>
          <w:rtl/>
        </w:rPr>
        <w:t>א.</w:t>
      </w:r>
      <w:r>
        <w:rPr>
          <w:rFonts w:ascii="Arial" w:hAnsi="Arial"/>
          <w:noProof w:val="0"/>
          <w:rtl/>
        </w:rPr>
        <w:tab/>
        <w:t>בית משפט קמא העמיד את דמי מזונות הקטין יחד עם מדור ודמי אחזקת המדור על סך של 2836 ₪. בשים לב כי בין המשיב לקטין לא מתקיימים כלל זמני שהות, ואף לנוכח פערי הכנסות הצדדים, לא היה מקום לחייב את האב בתשלום 1800 ₪ בלבד, אלא לחייבו במלוא הוצאות הקטין.</w:t>
      </w:r>
    </w:p>
    <w:p w:rsidR="002A709C" w:rsidRDefault="002A709C" w:rsidP="007417E4">
      <w:pPr>
        <w:spacing w:after="120" w:line="360" w:lineRule="auto"/>
        <w:ind w:left="1440" w:hanging="720"/>
        <w:jc w:val="both"/>
        <w:rPr>
          <w:rFonts w:ascii="Arial" w:hAnsi="Arial"/>
          <w:noProof w:val="0"/>
          <w:rtl/>
        </w:rPr>
      </w:pPr>
      <w:r>
        <w:rPr>
          <w:rFonts w:ascii="Arial" w:hAnsi="Arial"/>
          <w:noProof w:val="0"/>
          <w:rtl/>
        </w:rPr>
        <w:t>ב.</w:t>
      </w:r>
      <w:r>
        <w:rPr>
          <w:rFonts w:ascii="Arial" w:hAnsi="Arial"/>
          <w:noProof w:val="0"/>
          <w:rtl/>
        </w:rPr>
        <w:tab/>
        <w:t>נראה כי חלה טעות בהחלטה קמא, לאחר שבית משפט קמא העמיד את הכנסתו הפנויה של המשיב על סך 12,900 ₪, לעומת הכנסתה הפנויה של המבקשת, בסך 5400 ₪ בלבד.</w:t>
      </w:r>
    </w:p>
    <w:p w:rsidR="002A709C" w:rsidRDefault="002A709C" w:rsidP="007417E4">
      <w:pPr>
        <w:spacing w:after="120" w:line="360" w:lineRule="auto"/>
        <w:ind w:left="1440" w:hanging="720"/>
        <w:jc w:val="both"/>
        <w:rPr>
          <w:rFonts w:ascii="Arial" w:hAnsi="Arial"/>
          <w:noProof w:val="0"/>
          <w:rtl/>
        </w:rPr>
      </w:pPr>
      <w:r>
        <w:rPr>
          <w:rFonts w:ascii="Arial" w:hAnsi="Arial"/>
          <w:noProof w:val="0"/>
          <w:rtl/>
        </w:rPr>
        <w:t>ג.</w:t>
      </w:r>
      <w:r>
        <w:rPr>
          <w:rFonts w:ascii="Arial" w:hAnsi="Arial"/>
          <w:noProof w:val="0"/>
          <w:rtl/>
        </w:rPr>
        <w:tab/>
        <w:t>בנסיבות בהן ישנו פער של פי שניים בין ההכנסות הפנויות של הצדדים, וכאשר המשיב לא מקיים זמני שהות עם הקטין, יש להורות על חיוב המשיב במלוא מזונות הקטין כפי שנקבעו, 2836 ₪.</w:t>
      </w:r>
    </w:p>
    <w:p w:rsidR="002A709C" w:rsidRDefault="002A709C" w:rsidP="007417E4">
      <w:pPr>
        <w:spacing w:after="120" w:line="360" w:lineRule="auto"/>
        <w:ind w:left="1440" w:hanging="720"/>
        <w:jc w:val="both"/>
        <w:rPr>
          <w:rFonts w:ascii="Arial" w:hAnsi="Arial"/>
          <w:noProof w:val="0"/>
          <w:rtl/>
        </w:rPr>
      </w:pPr>
    </w:p>
    <w:p w:rsidR="002A709C" w:rsidRDefault="002A709C" w:rsidP="007417E4">
      <w:pPr>
        <w:spacing w:after="120" w:line="360" w:lineRule="auto"/>
        <w:jc w:val="both"/>
        <w:rPr>
          <w:rFonts w:ascii="Arial" w:hAnsi="Arial"/>
          <w:b/>
          <w:bCs/>
          <w:noProof w:val="0"/>
          <w:u w:val="single"/>
          <w:rtl/>
        </w:rPr>
      </w:pPr>
      <w:r>
        <w:rPr>
          <w:rFonts w:ascii="Arial" w:hAnsi="Arial"/>
          <w:b/>
          <w:bCs/>
          <w:noProof w:val="0"/>
          <w:u w:val="single"/>
          <w:rtl/>
        </w:rPr>
        <w:t>דיון והכרעה</w:t>
      </w:r>
    </w:p>
    <w:p w:rsidR="002A709C" w:rsidRDefault="002A709C" w:rsidP="007417E4">
      <w:pPr>
        <w:spacing w:after="120" w:line="360" w:lineRule="auto"/>
        <w:ind w:left="720" w:hanging="720"/>
        <w:jc w:val="both"/>
        <w:rPr>
          <w:rFonts w:ascii="Arial" w:hAnsi="Arial"/>
          <w:noProof w:val="0"/>
          <w:rtl/>
        </w:rPr>
      </w:pPr>
      <w:r>
        <w:rPr>
          <w:rFonts w:ascii="Arial" w:hAnsi="Arial"/>
          <w:noProof w:val="0"/>
          <w:rtl/>
        </w:rPr>
        <w:t>9.</w:t>
      </w:r>
      <w:r>
        <w:rPr>
          <w:rFonts w:ascii="Arial" w:hAnsi="Arial"/>
          <w:noProof w:val="0"/>
          <w:rtl/>
        </w:rPr>
        <w:tab/>
      </w:r>
      <w:r>
        <w:rPr>
          <w:rFonts w:ascii="Arial" w:hAnsi="Arial"/>
          <w:b/>
          <w:bCs/>
          <w:noProof w:val="0"/>
          <w:rtl/>
        </w:rPr>
        <w:t>לאחר עיון בבקשת רשות הערעור על נספחיה ובתיק קמא, שוכנעתי לדחות את בקשת רשות הערעור אף ללא צורך בתשובה, וזאת מכח סמכותי על פי תקנות 138(א)(2) + (5) לתקנות סדר הדין האזרחי, תשע"ט-2018 (להלן: "התקנות").</w:t>
      </w:r>
    </w:p>
    <w:p w:rsidR="002A709C" w:rsidRDefault="002A709C" w:rsidP="007417E4">
      <w:pPr>
        <w:spacing w:after="120" w:line="360" w:lineRule="auto"/>
        <w:ind w:left="720" w:hanging="720"/>
        <w:jc w:val="both"/>
        <w:rPr>
          <w:rFonts w:ascii="Arial" w:hAnsi="Arial"/>
          <w:noProof w:val="0"/>
          <w:rtl/>
        </w:rPr>
      </w:pPr>
      <w:r>
        <w:rPr>
          <w:rFonts w:ascii="Arial" w:hAnsi="Arial"/>
          <w:noProof w:val="0"/>
          <w:rtl/>
        </w:rPr>
        <w:tab/>
        <w:t>להלן אנמק החלטתי.</w:t>
      </w:r>
    </w:p>
    <w:p w:rsidR="002A709C" w:rsidRDefault="002A709C" w:rsidP="007417E4">
      <w:pPr>
        <w:spacing w:after="120" w:line="360" w:lineRule="auto"/>
        <w:ind w:left="720" w:hanging="720"/>
        <w:jc w:val="both"/>
        <w:rPr>
          <w:rFonts w:ascii="Arial" w:hAnsi="Arial"/>
          <w:noProof w:val="0"/>
          <w:rtl/>
        </w:rPr>
      </w:pPr>
      <w:r>
        <w:rPr>
          <w:rFonts w:ascii="Arial" w:hAnsi="Arial"/>
          <w:noProof w:val="0"/>
          <w:rtl/>
        </w:rPr>
        <w:t>10.</w:t>
      </w:r>
      <w:r>
        <w:rPr>
          <w:rFonts w:ascii="Arial" w:hAnsi="Arial"/>
          <w:noProof w:val="0"/>
          <w:rtl/>
        </w:rPr>
        <w:tab/>
      </w:r>
      <w:r>
        <w:rPr>
          <w:rFonts w:ascii="Arial" w:hAnsi="Arial"/>
          <w:rtl/>
        </w:rPr>
        <w:t xml:space="preserve">ראשית, נזכיר כי עסקינן </w:t>
      </w:r>
      <w:r>
        <w:rPr>
          <w:rFonts w:ascii="Arial" w:hAnsi="Arial"/>
          <w:b/>
          <w:bCs/>
          <w:u w:val="single"/>
          <w:rtl/>
        </w:rPr>
        <w:t>בהחלטה זמנית</w:t>
      </w:r>
      <w:r>
        <w:rPr>
          <w:rFonts w:ascii="Arial" w:hAnsi="Arial"/>
          <w:rtl/>
        </w:rPr>
        <w:t xml:space="preserve"> של בית משפט קמא, העוסקת במזונות </w:t>
      </w:r>
      <w:r>
        <w:rPr>
          <w:rFonts w:ascii="Arial" w:hAnsi="Arial"/>
          <w:b/>
          <w:bCs/>
          <w:u w:val="single"/>
          <w:rtl/>
        </w:rPr>
        <w:t>ארעיים</w:t>
      </w:r>
      <w:r>
        <w:rPr>
          <w:rFonts w:ascii="Arial" w:hAnsi="Arial"/>
          <w:rtl/>
        </w:rPr>
        <w:t xml:space="preserve"> שנפסקו לקטין.</w:t>
      </w:r>
    </w:p>
    <w:p w:rsidR="002A709C" w:rsidRDefault="002A709C" w:rsidP="007417E4">
      <w:pPr>
        <w:spacing w:after="120" w:line="360" w:lineRule="auto"/>
        <w:ind w:left="720"/>
        <w:jc w:val="both"/>
        <w:rPr>
          <w:rFonts w:ascii="Arial" w:hAnsi="Arial"/>
          <w:rtl/>
        </w:rPr>
      </w:pPr>
      <w:r>
        <w:rPr>
          <w:rFonts w:ascii="Arial" w:hAnsi="Arial"/>
          <w:rtl/>
        </w:rPr>
        <w:t xml:space="preserve">הלכה פסוקה היא לענין מידת ההתערבות המצומצמת של ערכאת הערעור בהחלטת מזונות זמניים, </w:t>
      </w:r>
      <w:r>
        <w:rPr>
          <w:rFonts w:ascii="Arial" w:hAnsi="Arial"/>
          <w:u w:val="single"/>
          <w:rtl/>
        </w:rPr>
        <w:t>מקל וחומר ארעיים</w:t>
      </w:r>
      <w:r>
        <w:rPr>
          <w:rFonts w:ascii="Arial" w:hAnsi="Arial"/>
          <w:rtl/>
        </w:rPr>
        <w:t xml:space="preserve">, על-פיה רוחב שיקול הדעת המוענק לבית המשפט לענייני משפחה, בבואו לקבוע מזונות זמניים, עומד ביחס הפוך לצמצום שיקול הדעת של ערכאת הערעור. </w:t>
      </w:r>
    </w:p>
    <w:p w:rsidR="002A709C" w:rsidRDefault="002A709C" w:rsidP="007417E4">
      <w:pPr>
        <w:spacing w:after="120" w:line="360" w:lineRule="auto"/>
        <w:ind w:left="720" w:hanging="720"/>
        <w:jc w:val="both"/>
        <w:rPr>
          <w:rFonts w:ascii="Arial" w:hAnsi="Arial"/>
          <w:rtl/>
        </w:rPr>
      </w:pPr>
      <w:r>
        <w:rPr>
          <w:rFonts w:ascii="Arial" w:hAnsi="Arial"/>
          <w:rtl/>
        </w:rPr>
        <w:tab/>
        <w:t xml:space="preserve">ההכרעה של בית המשפט לענייני משפחה על אודות מזונות זמניים, חייבת להיות מהירה, עניינית, ומטבעה נשענת על תמונה חלקית. </w:t>
      </w:r>
    </w:p>
    <w:p w:rsidR="002A709C" w:rsidRDefault="002A709C" w:rsidP="007417E4">
      <w:pPr>
        <w:spacing w:after="120" w:line="360" w:lineRule="auto"/>
        <w:ind w:left="720" w:hanging="720"/>
        <w:jc w:val="both"/>
        <w:rPr>
          <w:rFonts w:ascii="Arial" w:hAnsi="Arial"/>
          <w:rtl/>
        </w:rPr>
      </w:pPr>
      <w:r>
        <w:rPr>
          <w:rFonts w:ascii="Arial" w:hAnsi="Arial"/>
          <w:rtl/>
        </w:rPr>
        <w:tab/>
        <w:t xml:space="preserve">התוצאה היא, כי קביעת בית המשפט קמא בנושא מזונות זמניים ניזונה מממצאים עובדתיים חלקיים. הגבלה זו תורמת לריסון שעל ערכאת הערעור לנקוט בבואה לבקר החלטת הערכאה המבררת. </w:t>
      </w:r>
    </w:p>
    <w:p w:rsidR="002A709C" w:rsidRDefault="002A709C" w:rsidP="007417E4">
      <w:pPr>
        <w:spacing w:after="120" w:line="360" w:lineRule="auto"/>
        <w:ind w:left="720" w:hanging="720"/>
        <w:jc w:val="both"/>
        <w:rPr>
          <w:rFonts w:ascii="Arial" w:hAnsi="Arial"/>
          <w:rtl/>
        </w:rPr>
      </w:pPr>
      <w:r>
        <w:rPr>
          <w:rFonts w:ascii="Arial" w:hAnsi="Arial"/>
          <w:rtl/>
        </w:rPr>
        <w:tab/>
        <w:t>בכל מקרה, החלטת מזונות זמניים אינה סופית. ככל שיתברר לאחר שמיעת ראיות שנפלה טעות בקביעת המזונות הזמניים, ניתן לשנות זאת לעבר ולעתיד.</w:t>
      </w:r>
    </w:p>
    <w:p w:rsidR="002A709C" w:rsidRDefault="002A709C" w:rsidP="007417E4">
      <w:pPr>
        <w:spacing w:after="120" w:line="360" w:lineRule="auto"/>
        <w:ind w:left="720"/>
        <w:jc w:val="both"/>
        <w:rPr>
          <w:rFonts w:ascii="Arial" w:hAnsi="Arial"/>
          <w:rtl/>
        </w:rPr>
      </w:pPr>
      <w:r>
        <w:rPr>
          <w:rFonts w:ascii="Arial" w:hAnsi="Arial"/>
          <w:rtl/>
        </w:rPr>
        <w:t>חרף העובדה שפסיקתה של הערכאה הדיונית בנושא מזונות זמניים אינה חסינה מפני התערבות ערעורית, שומה על ערכאת הערעור להימנע מהתערבות בקביעתם של בתי המשפט לענייני משפחה בדבר שיעור המזונות הזמניים, אלא אם כן מדובר במקרה חריג ויוצא דופן.</w:t>
      </w:r>
    </w:p>
    <w:p w:rsidR="007417E4" w:rsidRDefault="007417E4" w:rsidP="007417E4">
      <w:pPr>
        <w:spacing w:after="120" w:line="360" w:lineRule="auto"/>
        <w:ind w:left="720"/>
        <w:jc w:val="both"/>
        <w:rPr>
          <w:rFonts w:ascii="Arial" w:hAnsi="Arial"/>
          <w:rtl/>
        </w:rPr>
      </w:pPr>
    </w:p>
    <w:p w:rsidR="002A709C" w:rsidRDefault="002A709C" w:rsidP="007417E4">
      <w:pPr>
        <w:spacing w:after="120" w:line="360" w:lineRule="auto"/>
        <w:ind w:left="720" w:hanging="720"/>
        <w:rPr>
          <w:rFonts w:ascii="Arial" w:hAnsi="Arial"/>
        </w:rPr>
      </w:pPr>
      <w:r>
        <w:rPr>
          <w:rFonts w:ascii="Arial" w:hAnsi="Arial"/>
          <w:rtl/>
        </w:rPr>
        <w:lastRenderedPageBreak/>
        <w:tab/>
      </w:r>
      <w:r>
        <w:rPr>
          <w:rFonts w:ascii="Arial" w:hAnsi="Arial"/>
          <w:u w:val="single"/>
          <w:rtl/>
        </w:rPr>
        <w:t>לעניין זה ראה</w:t>
      </w:r>
      <w:r>
        <w:rPr>
          <w:rFonts w:ascii="Arial" w:hAnsi="Arial"/>
          <w:rtl/>
        </w:rPr>
        <w:t xml:space="preserve">: </w:t>
      </w:r>
    </w:p>
    <w:p w:rsidR="002A709C" w:rsidRDefault="002A709C" w:rsidP="007417E4">
      <w:pPr>
        <w:spacing w:after="120" w:line="360" w:lineRule="auto"/>
        <w:ind w:left="720"/>
        <w:rPr>
          <w:rFonts w:ascii="Arial" w:hAnsi="Arial"/>
          <w:rtl/>
        </w:rPr>
      </w:pPr>
      <w:r>
        <w:rPr>
          <w:rFonts w:ascii="Arial" w:hAnsi="Arial"/>
          <w:rtl/>
        </w:rPr>
        <w:t xml:space="preserve">בע"מ 1078/11 </w:t>
      </w:r>
      <w:r>
        <w:rPr>
          <w:rFonts w:ascii="Arial" w:hAnsi="Arial"/>
          <w:b/>
          <w:bCs/>
          <w:rtl/>
        </w:rPr>
        <w:t>פלוני נ' פלוני</w:t>
      </w:r>
      <w:r>
        <w:rPr>
          <w:rFonts w:ascii="Arial" w:hAnsi="Arial"/>
          <w:rtl/>
        </w:rPr>
        <w:t xml:space="preserve"> (ניתן ביום 27.4.11).</w:t>
      </w:r>
    </w:p>
    <w:p w:rsidR="002A709C" w:rsidRDefault="002A709C" w:rsidP="007417E4">
      <w:pPr>
        <w:spacing w:after="120" w:line="360" w:lineRule="auto"/>
        <w:ind w:left="720"/>
        <w:rPr>
          <w:rFonts w:ascii="Arial" w:hAnsi="Arial"/>
          <w:rtl/>
        </w:rPr>
      </w:pPr>
      <w:r>
        <w:rPr>
          <w:rFonts w:ascii="Arial" w:hAnsi="Arial"/>
          <w:rtl/>
        </w:rPr>
        <w:t xml:space="preserve">בע"מ 1326/12 </w:t>
      </w:r>
      <w:r>
        <w:rPr>
          <w:rFonts w:ascii="Arial" w:hAnsi="Arial"/>
          <w:b/>
          <w:bCs/>
          <w:rtl/>
        </w:rPr>
        <w:t>פלוני נ' פלונית</w:t>
      </w:r>
      <w:r>
        <w:rPr>
          <w:rFonts w:ascii="Arial" w:hAnsi="Arial"/>
          <w:rtl/>
        </w:rPr>
        <w:t xml:space="preserve"> (ניתן ביום 28.3.12).</w:t>
      </w:r>
    </w:p>
    <w:p w:rsidR="002A709C" w:rsidRDefault="002A709C" w:rsidP="007417E4">
      <w:pPr>
        <w:spacing w:after="120" w:line="360" w:lineRule="auto"/>
        <w:ind w:firstLine="720"/>
        <w:jc w:val="both"/>
        <w:rPr>
          <w:rFonts w:ascii="David" w:hAnsi="David"/>
          <w:noProof w:val="0"/>
          <w:rtl/>
        </w:rPr>
      </w:pPr>
      <w:r>
        <w:rPr>
          <w:rFonts w:ascii="David" w:hAnsi="David"/>
          <w:rtl/>
        </w:rPr>
        <w:t xml:space="preserve">רמ"ש (חי') 34826-10-18 </w:t>
      </w:r>
      <w:r>
        <w:rPr>
          <w:rFonts w:ascii="David" w:hAnsi="David"/>
          <w:b/>
          <w:bCs/>
          <w:rtl/>
        </w:rPr>
        <w:t>פלוני נ' אלמונית</w:t>
      </w:r>
      <w:r>
        <w:rPr>
          <w:rFonts w:ascii="David" w:hAnsi="David"/>
          <w:noProof w:val="0"/>
          <w:rtl/>
        </w:rPr>
        <w:t xml:space="preserve"> (ניתן ביום 17.10.18).</w:t>
      </w:r>
    </w:p>
    <w:p w:rsidR="002A709C" w:rsidRDefault="002A709C" w:rsidP="007417E4">
      <w:pPr>
        <w:spacing w:after="120" w:line="360" w:lineRule="auto"/>
        <w:ind w:firstLine="720"/>
        <w:jc w:val="both"/>
        <w:rPr>
          <w:rFonts w:ascii="David" w:hAnsi="David"/>
          <w:noProof w:val="0"/>
          <w:rtl/>
        </w:rPr>
      </w:pPr>
      <w:r>
        <w:rPr>
          <w:rFonts w:ascii="David" w:hAnsi="David"/>
          <w:b/>
          <w:bCs/>
          <w:noProof w:val="0"/>
          <w:rtl/>
        </w:rPr>
        <w:t>לא מצאתי כי המקרה דנן נופל בגדר אותם מקרים חריגים</w:t>
      </w:r>
      <w:r>
        <w:rPr>
          <w:rFonts w:ascii="David" w:hAnsi="David"/>
          <w:noProof w:val="0"/>
          <w:rtl/>
        </w:rPr>
        <w:t>.</w:t>
      </w:r>
    </w:p>
    <w:p w:rsidR="002A709C" w:rsidRDefault="002A709C" w:rsidP="007417E4">
      <w:pPr>
        <w:spacing w:after="120" w:line="360" w:lineRule="auto"/>
        <w:ind w:left="720" w:hanging="720"/>
        <w:jc w:val="both"/>
        <w:rPr>
          <w:rFonts w:ascii="David" w:hAnsi="David"/>
          <w:noProof w:val="0"/>
          <w:rtl/>
        </w:rPr>
      </w:pPr>
      <w:r>
        <w:rPr>
          <w:rFonts w:ascii="David" w:hAnsi="David"/>
          <w:noProof w:val="0"/>
          <w:rtl/>
        </w:rPr>
        <w:t>11.</w:t>
      </w:r>
      <w:r>
        <w:rPr>
          <w:rFonts w:ascii="David" w:hAnsi="David"/>
          <w:noProof w:val="0"/>
          <w:rtl/>
        </w:rPr>
        <w:tab/>
        <w:t xml:space="preserve">זאת ועוד – מלשונו של סעיף 52(ב) לחוק בתי המשפט [נוסח משולב] התשמ"ד – 1984, עולה כי ככלל לא יידונו השגות הצדדים על "החלטות אחרות" (החלטות ביניים) של הערכאה הדיונית במסגרת הערעור על פסק הדין, אלא אם עלה בידי מבקש רשות הערעור, להראות כי דחיית הדיון בהשגה על ההחלטה לשלב הערעור על פסק הדין, עלולה להשפיע באופן ממשי על זכויות הצדדים; עלולה לגרום לנזק של ממש, או עלולה להביא לקיומו של הליך מיותר או שגוי. </w:t>
      </w:r>
    </w:p>
    <w:p w:rsidR="002A709C" w:rsidRDefault="002A709C" w:rsidP="007417E4">
      <w:pPr>
        <w:spacing w:after="120" w:line="360" w:lineRule="auto"/>
        <w:ind w:left="720" w:hanging="720"/>
        <w:jc w:val="both"/>
        <w:rPr>
          <w:rFonts w:ascii="David" w:hAnsi="David"/>
          <w:noProof w:val="0"/>
        </w:rPr>
      </w:pPr>
      <w:r>
        <w:rPr>
          <w:rFonts w:ascii="David" w:hAnsi="David"/>
          <w:noProof w:val="0"/>
          <w:rtl/>
        </w:rPr>
        <w:t>12.</w:t>
      </w:r>
      <w:r>
        <w:rPr>
          <w:rFonts w:ascii="David" w:hAnsi="David"/>
          <w:noProof w:val="0"/>
          <w:rtl/>
        </w:rPr>
        <w:tab/>
        <w:t>תקנה 150 לתקנות קובעת כי אף אם צד להליך לא ערער על החלטה אחרת עם נתינתה, פתוחה בפניו הדרך להשיג עליה בזכות עם סיום ההליך, במסגרת ערעורו על פסק הדין.</w:t>
      </w:r>
    </w:p>
    <w:p w:rsidR="002A709C" w:rsidRDefault="002A709C" w:rsidP="007417E4">
      <w:pPr>
        <w:spacing w:after="120" w:line="360" w:lineRule="auto"/>
        <w:ind w:left="720" w:hanging="720"/>
        <w:jc w:val="both"/>
        <w:rPr>
          <w:rFonts w:ascii="David" w:hAnsi="David"/>
          <w:noProof w:val="0"/>
          <w:rtl/>
        </w:rPr>
      </w:pPr>
      <w:r>
        <w:rPr>
          <w:rFonts w:ascii="David" w:hAnsi="David"/>
          <w:noProof w:val="0"/>
          <w:rtl/>
        </w:rPr>
        <w:t>13.</w:t>
      </w:r>
      <w:r>
        <w:rPr>
          <w:rFonts w:ascii="David" w:hAnsi="David"/>
          <w:noProof w:val="0"/>
          <w:rtl/>
        </w:rPr>
        <w:tab/>
        <w:t xml:space="preserve">בהלכה הפסוקה יושמה הוראת סעיף 41(ב) לחוק בתי המשפט (שעוסקת ברשות ערעור על החלטת בית המשפט המחוזי המוגשת בפני בית המשפט העליון, אך זהה במתכונתה בכל הנוגע לתנאים הקבועים בהוראות סעיף 52(ב) לחוק, בהם צריך מבקש רשות הערעור לעמוד) באופן שנקבע כי יהיה מקום ליתן רשות ערעור על "החלטה אחרת" רק כאשר בכוחו של המבקש להראות כי הדיון בערעור עליה נחוץ, על אף שההליך העיקרי טרם הגיע לסיומו. </w:t>
      </w:r>
    </w:p>
    <w:p w:rsidR="002A709C" w:rsidRDefault="002A709C" w:rsidP="007417E4">
      <w:pPr>
        <w:spacing w:after="120" w:line="360" w:lineRule="auto"/>
        <w:ind w:left="720" w:hanging="720"/>
        <w:jc w:val="both"/>
        <w:rPr>
          <w:rFonts w:ascii="David" w:hAnsi="David"/>
          <w:noProof w:val="0"/>
          <w:rtl/>
        </w:rPr>
      </w:pPr>
      <w:r>
        <w:rPr>
          <w:rFonts w:ascii="David" w:hAnsi="David"/>
          <w:noProof w:val="0"/>
          <w:rtl/>
        </w:rPr>
        <w:t>14.</w:t>
      </w:r>
      <w:r>
        <w:rPr>
          <w:rFonts w:ascii="David" w:hAnsi="David"/>
          <w:noProof w:val="0"/>
          <w:rtl/>
        </w:rPr>
        <w:tab/>
        <w:t>מבין הנסיבות אותן ניתן למנות לעניין נחיצות הדיון הן: הדירותה של ההחלטה, היינו, האם ההחלטה עשויה להשפיע באופן בלתי הפיך על זכויות הצדדים; ההכרעה עשויה לייתר הליך משפטי ארוך ומורכב במיוחד; ההכרעה תמנע קיומו של הליך שגוי; מקרים נדירים בהם ניתן לומר מיד כי הערכאה המבררת טעתה טעות ברורה, באופן שנפתח את שערי ערכאת הערעור עוד בטרם ניתן פסק הדין.</w:t>
      </w:r>
    </w:p>
    <w:p w:rsidR="002A709C" w:rsidRDefault="002A709C" w:rsidP="007417E4">
      <w:pPr>
        <w:spacing w:after="120" w:line="360" w:lineRule="auto"/>
        <w:ind w:left="720"/>
        <w:jc w:val="both"/>
        <w:rPr>
          <w:rFonts w:ascii="David" w:hAnsi="David"/>
          <w:noProof w:val="0"/>
          <w:rtl/>
        </w:rPr>
      </w:pPr>
      <w:r>
        <w:rPr>
          <w:rFonts w:ascii="David" w:hAnsi="David"/>
          <w:noProof w:val="0"/>
          <w:u w:val="single"/>
          <w:rtl/>
        </w:rPr>
        <w:t>ראו לעניין זה</w:t>
      </w:r>
      <w:r>
        <w:rPr>
          <w:rFonts w:ascii="David" w:hAnsi="David"/>
          <w:noProof w:val="0"/>
          <w:rtl/>
        </w:rPr>
        <w:t>:</w:t>
      </w:r>
    </w:p>
    <w:p w:rsidR="002A709C" w:rsidRDefault="002A709C" w:rsidP="007417E4">
      <w:pPr>
        <w:spacing w:after="120" w:line="360" w:lineRule="auto"/>
        <w:ind w:left="720"/>
        <w:jc w:val="both"/>
        <w:rPr>
          <w:rFonts w:ascii="David" w:hAnsi="David"/>
          <w:noProof w:val="0"/>
          <w:rtl/>
        </w:rPr>
      </w:pPr>
      <w:r>
        <w:rPr>
          <w:rFonts w:ascii="Calibri" w:hAnsi="Calibri"/>
          <w:noProof w:val="0"/>
          <w:color w:val="000000"/>
          <w:rtl/>
        </w:rPr>
        <w:t xml:space="preserve">רע"א 6523/19 </w:t>
      </w:r>
      <w:r>
        <w:rPr>
          <w:rFonts w:ascii="Calibri" w:hAnsi="Calibri"/>
          <w:b/>
          <w:bCs/>
          <w:noProof w:val="0"/>
          <w:color w:val="000000"/>
          <w:rtl/>
        </w:rPr>
        <w:t>פלוני נ' מגדל חברה לביטוח בע"מ</w:t>
      </w:r>
      <w:r>
        <w:rPr>
          <w:rFonts w:ascii="Calibri" w:hAnsi="Calibri"/>
          <w:noProof w:val="0"/>
          <w:color w:val="000000"/>
          <w:rtl/>
        </w:rPr>
        <w:t>, פסקה 14 (3.2.20) – (אמנם החלטה זאת מתייחסת לסעיף 41(ב) לחוק בתי המשפט, אך ניתן להשליך ממנה על סעיף 52(ב) לחוק בתי המשפט, ועמדנו לעיל על דמיון הוראות שני הסעיפים הנ"ל).</w:t>
      </w:r>
    </w:p>
    <w:p w:rsidR="002A709C" w:rsidRDefault="002A709C" w:rsidP="007417E4">
      <w:pPr>
        <w:spacing w:after="120" w:line="360" w:lineRule="auto"/>
        <w:ind w:left="720"/>
        <w:jc w:val="both"/>
        <w:rPr>
          <w:rFonts w:ascii="David" w:hAnsi="David"/>
          <w:noProof w:val="0"/>
          <w:rtl/>
        </w:rPr>
      </w:pPr>
      <w:r>
        <w:rPr>
          <w:rFonts w:ascii="David" w:hAnsi="David"/>
          <w:noProof w:val="0"/>
          <w:rtl/>
        </w:rPr>
        <w:t xml:space="preserve">רמ"ש (ת"א) 14272-05-17 </w:t>
      </w:r>
      <w:r>
        <w:rPr>
          <w:rFonts w:ascii="David" w:hAnsi="David"/>
          <w:b/>
          <w:bCs/>
          <w:noProof w:val="0"/>
          <w:rtl/>
        </w:rPr>
        <w:t>י.ש נ' כ.ש</w:t>
      </w:r>
      <w:r>
        <w:rPr>
          <w:rFonts w:ascii="David" w:hAnsi="David"/>
          <w:noProof w:val="0"/>
          <w:rtl/>
        </w:rPr>
        <w:t xml:space="preserve"> (החלטתו של כב' השופט שוחט מיום 29/6/17, ובה מסוכמת ההלכה בנדון עם אסמכתאות נוספות).</w:t>
      </w:r>
    </w:p>
    <w:p w:rsidR="002A709C" w:rsidRDefault="002A709C" w:rsidP="007417E4">
      <w:pPr>
        <w:spacing w:after="120" w:line="360" w:lineRule="auto"/>
        <w:ind w:firstLine="720"/>
        <w:jc w:val="both"/>
        <w:rPr>
          <w:rFonts w:ascii="David" w:hAnsi="David"/>
          <w:noProof w:val="0"/>
          <w:rtl/>
        </w:rPr>
      </w:pPr>
      <w:r>
        <w:rPr>
          <w:rFonts w:ascii="David" w:hAnsi="David"/>
          <w:noProof w:val="0"/>
          <w:rtl/>
        </w:rPr>
        <w:t xml:space="preserve">רמ"ש (חי') 59194-10-18 </w:t>
      </w:r>
      <w:r>
        <w:rPr>
          <w:rFonts w:ascii="David" w:hAnsi="David"/>
          <w:b/>
          <w:bCs/>
          <w:noProof w:val="0"/>
          <w:rtl/>
        </w:rPr>
        <w:t>פלונית נ' אלמוני</w:t>
      </w:r>
      <w:r>
        <w:rPr>
          <w:rFonts w:ascii="David" w:hAnsi="David"/>
          <w:noProof w:val="0"/>
          <w:rtl/>
        </w:rPr>
        <w:t xml:space="preserve"> (21.11.2018).</w:t>
      </w:r>
    </w:p>
    <w:p w:rsidR="002A709C" w:rsidRDefault="002A709C" w:rsidP="007417E4">
      <w:pPr>
        <w:spacing w:after="120" w:line="360" w:lineRule="auto"/>
        <w:ind w:left="720" w:hanging="720"/>
        <w:jc w:val="both"/>
        <w:rPr>
          <w:rFonts w:ascii="David" w:hAnsi="David"/>
          <w:noProof w:val="0"/>
          <w:rtl/>
        </w:rPr>
      </w:pPr>
      <w:r>
        <w:rPr>
          <w:rFonts w:ascii="David" w:hAnsi="David"/>
          <w:noProof w:val="0"/>
          <w:rtl/>
        </w:rPr>
        <w:t>15.</w:t>
      </w:r>
      <w:r>
        <w:rPr>
          <w:rFonts w:ascii="David" w:hAnsi="David"/>
          <w:noProof w:val="0"/>
          <w:rtl/>
        </w:rPr>
        <w:tab/>
      </w:r>
      <w:r>
        <w:rPr>
          <w:rFonts w:ascii="Arial" w:hAnsi="Arial"/>
          <w:b/>
          <w:bCs/>
          <w:rtl/>
        </w:rPr>
        <w:t xml:space="preserve">בנסיבות המקרה הנדון לא מצאתי כי בהחלטת בית משפט קמא, במסגרתה נפסקו מזונות ארעיים עבור הקטין, לרבות מדור והוצאות מדור, יש טעות המחייבת </w:t>
      </w:r>
      <w:r>
        <w:rPr>
          <w:rFonts w:ascii="Arial" w:hAnsi="Arial"/>
          <w:b/>
          <w:bCs/>
          <w:u w:val="single"/>
          <w:rtl/>
        </w:rPr>
        <w:t>כבר בשלב זה</w:t>
      </w:r>
      <w:r>
        <w:rPr>
          <w:rFonts w:ascii="Arial" w:hAnsi="Arial"/>
          <w:b/>
          <w:bCs/>
          <w:rtl/>
        </w:rPr>
        <w:t xml:space="preserve"> את התערבות ערכאת הערעור.</w:t>
      </w:r>
      <w:r>
        <w:rPr>
          <w:rFonts w:ascii="David" w:hAnsi="David"/>
          <w:noProof w:val="0"/>
          <w:rtl/>
        </w:rPr>
        <w:t xml:space="preserve"> </w:t>
      </w:r>
    </w:p>
    <w:p w:rsidR="002A709C" w:rsidRDefault="002A709C" w:rsidP="00E7523E">
      <w:pPr>
        <w:spacing w:after="120" w:line="360" w:lineRule="auto"/>
        <w:ind w:left="720"/>
        <w:jc w:val="both"/>
        <w:rPr>
          <w:rFonts w:ascii="David" w:hAnsi="David"/>
          <w:noProof w:val="0"/>
          <w:rtl/>
        </w:rPr>
      </w:pPr>
      <w:r>
        <w:rPr>
          <w:rFonts w:ascii="David" w:hAnsi="David"/>
          <w:noProof w:val="0"/>
          <w:rtl/>
        </w:rPr>
        <w:lastRenderedPageBreak/>
        <w:t xml:space="preserve">בהינתן העובדה כי עסקינן </w:t>
      </w:r>
      <w:r>
        <w:rPr>
          <w:rFonts w:ascii="David" w:hAnsi="David"/>
          <w:noProof w:val="0"/>
          <w:u w:val="single"/>
          <w:rtl/>
        </w:rPr>
        <w:t>במזונות ארעיים</w:t>
      </w:r>
      <w:r>
        <w:rPr>
          <w:rFonts w:ascii="David" w:hAnsi="David"/>
          <w:noProof w:val="0"/>
          <w:rtl/>
        </w:rPr>
        <w:t xml:space="preserve"> בלבד, שנפסקו במסגרת תיק י"ס</w:t>
      </w:r>
      <w:r w:rsidR="007417E4">
        <w:rPr>
          <w:rFonts w:ascii="David" w:hAnsi="David" w:hint="cs"/>
          <w:noProof w:val="0"/>
          <w:rtl/>
        </w:rPr>
        <w:t xml:space="preserve"> שנסגר</w:t>
      </w:r>
      <w:r>
        <w:rPr>
          <w:rFonts w:ascii="David" w:hAnsi="David"/>
          <w:noProof w:val="0"/>
          <w:rtl/>
        </w:rPr>
        <w:t>, בטרם הוגשה כל תובענה למזונות הקטין, וממילא בטרם הוגשה בקש</w:t>
      </w:r>
      <w:r w:rsidR="00433680">
        <w:rPr>
          <w:rFonts w:ascii="David" w:hAnsi="David"/>
          <w:noProof w:val="0"/>
          <w:rtl/>
        </w:rPr>
        <w:t>ה לפסיקת מזונות זמניים במסגרתה</w:t>
      </w:r>
      <w:r w:rsidR="00433680">
        <w:rPr>
          <w:rFonts w:ascii="David" w:hAnsi="David" w:hint="cs"/>
          <w:noProof w:val="0"/>
          <w:rtl/>
        </w:rPr>
        <w:t xml:space="preserve">, </w:t>
      </w:r>
      <w:r w:rsidR="00433680">
        <w:rPr>
          <w:rFonts w:ascii="David" w:hAnsi="David"/>
          <w:noProof w:val="0"/>
          <w:rtl/>
        </w:rPr>
        <w:t>סכום המזונות שהושת על המבקש עבור הקטין, כבן עשר שנים</w:t>
      </w:r>
      <w:r w:rsidR="00756B01">
        <w:rPr>
          <w:rFonts w:ascii="David" w:hAnsi="David" w:hint="cs"/>
          <w:noProof w:val="0"/>
          <w:rtl/>
        </w:rPr>
        <w:t>,</w:t>
      </w:r>
      <w:r w:rsidR="00433680">
        <w:rPr>
          <w:rFonts w:ascii="David" w:hAnsi="David"/>
          <w:noProof w:val="0"/>
          <w:rtl/>
        </w:rPr>
        <w:t xml:space="preserve"> הוא סביר</w:t>
      </w:r>
      <w:r w:rsidR="00433680">
        <w:rPr>
          <w:rFonts w:ascii="David" w:hAnsi="David" w:hint="cs"/>
          <w:noProof w:val="0"/>
          <w:rtl/>
        </w:rPr>
        <w:t xml:space="preserve"> בנסיבות הענין (הדבר יובן טוב יותר ב</w:t>
      </w:r>
      <w:r w:rsidR="00E7523E">
        <w:rPr>
          <w:rFonts w:ascii="David" w:hAnsi="David" w:hint="cs"/>
          <w:noProof w:val="0"/>
          <w:rtl/>
        </w:rPr>
        <w:t>סעיף 16 להלן)</w:t>
      </w:r>
      <w:r w:rsidR="00433680">
        <w:rPr>
          <w:rFonts w:ascii="David" w:hAnsi="David" w:hint="cs"/>
          <w:noProof w:val="0"/>
          <w:rtl/>
        </w:rPr>
        <w:t xml:space="preserve">. </w:t>
      </w:r>
    </w:p>
    <w:p w:rsidR="002A709C" w:rsidRDefault="002A709C" w:rsidP="007417E4">
      <w:pPr>
        <w:spacing w:after="120" w:line="360" w:lineRule="auto"/>
        <w:ind w:left="720"/>
        <w:jc w:val="both"/>
        <w:rPr>
          <w:rFonts w:ascii="David" w:hAnsi="David"/>
          <w:noProof w:val="0"/>
          <w:rtl/>
        </w:rPr>
      </w:pPr>
      <w:r>
        <w:rPr>
          <w:rFonts w:ascii="David" w:hAnsi="David"/>
          <w:noProof w:val="0"/>
          <w:rtl/>
        </w:rPr>
        <w:t xml:space="preserve">ודוק </w:t>
      </w:r>
      <w:r w:rsidR="00433680">
        <w:rPr>
          <w:rFonts w:ascii="David" w:hAnsi="David"/>
          <w:noProof w:val="0"/>
          <w:rtl/>
        </w:rPr>
        <w:t xml:space="preserve">– בית משפט קמא נקב בהחלטתו קמא </w:t>
      </w:r>
      <w:r>
        <w:rPr>
          <w:rFonts w:ascii="David" w:hAnsi="David"/>
          <w:noProof w:val="0"/>
          <w:rtl/>
        </w:rPr>
        <w:t>סד זמנים העומד על חמישה חודשים בלבד, במהלכם על המבקשת להגיש תובענה למזונות הקטין, במסגרתה אף תוכל להגיש בקשה למזונות זמניים, שתידון בבית משפט קמא.</w:t>
      </w:r>
    </w:p>
    <w:p w:rsidR="002A709C" w:rsidRDefault="002A709C" w:rsidP="00D75A63">
      <w:pPr>
        <w:spacing w:after="120" w:line="360" w:lineRule="auto"/>
        <w:ind w:left="720" w:hanging="720"/>
        <w:jc w:val="both"/>
        <w:rPr>
          <w:rFonts w:ascii="David" w:hAnsi="David"/>
          <w:b/>
          <w:bCs/>
          <w:noProof w:val="0"/>
          <w:rtl/>
        </w:rPr>
      </w:pPr>
      <w:r>
        <w:rPr>
          <w:rFonts w:ascii="David" w:hAnsi="David"/>
          <w:noProof w:val="0"/>
          <w:rtl/>
        </w:rPr>
        <w:tab/>
      </w:r>
      <w:r>
        <w:rPr>
          <w:rFonts w:ascii="David" w:hAnsi="David"/>
          <w:b/>
          <w:bCs/>
          <w:noProof w:val="0"/>
          <w:color w:val="000000"/>
          <w:rtl/>
        </w:rPr>
        <w:t>במצב דברים זה לא מצאתי כי נגרם למבקשת עיוות דין מ</w:t>
      </w:r>
      <w:r w:rsidR="00D75A63">
        <w:rPr>
          <w:rFonts w:ascii="David" w:hAnsi="David" w:hint="cs"/>
          <w:b/>
          <w:bCs/>
          <w:noProof w:val="0"/>
          <w:color w:val="000000"/>
          <w:rtl/>
        </w:rPr>
        <w:t xml:space="preserve">ההחלטה </w:t>
      </w:r>
      <w:r>
        <w:rPr>
          <w:rFonts w:ascii="David" w:hAnsi="David"/>
          <w:b/>
          <w:bCs/>
          <w:noProof w:val="0"/>
          <w:color w:val="000000"/>
          <w:rtl/>
        </w:rPr>
        <w:t>קמא.</w:t>
      </w:r>
    </w:p>
    <w:p w:rsidR="002A709C" w:rsidRDefault="002A709C" w:rsidP="007417E4">
      <w:pPr>
        <w:spacing w:after="120" w:line="360" w:lineRule="auto"/>
        <w:ind w:left="720" w:hanging="720"/>
        <w:jc w:val="both"/>
        <w:rPr>
          <w:rFonts w:ascii="David" w:hAnsi="David"/>
          <w:b/>
          <w:bCs/>
          <w:noProof w:val="0"/>
          <w:rtl/>
        </w:rPr>
      </w:pPr>
      <w:r>
        <w:rPr>
          <w:rFonts w:ascii="David" w:hAnsi="David"/>
          <w:noProof w:val="0"/>
          <w:rtl/>
        </w:rPr>
        <w:t>16.</w:t>
      </w:r>
      <w:r>
        <w:rPr>
          <w:rFonts w:ascii="David" w:hAnsi="David"/>
          <w:noProof w:val="0"/>
          <w:rtl/>
        </w:rPr>
        <w:tab/>
        <w:t xml:space="preserve">בקשת רשות הערעור דנן הוגשה לאחר שהמבקשת טענה, וכך נימקה הבקשה דנן, כי נפלו טעויות בהחלטה קמא. סבורני כי אין מקום לקבל טענה זו, לפחות לא בשלב זה של ההליך קמא, ואפרט. </w:t>
      </w:r>
    </w:p>
    <w:p w:rsidR="002A709C" w:rsidRDefault="002A709C" w:rsidP="00433680">
      <w:pPr>
        <w:spacing w:after="120" w:line="360" w:lineRule="auto"/>
        <w:ind w:left="720" w:hanging="720"/>
        <w:jc w:val="both"/>
        <w:rPr>
          <w:rFonts w:ascii="David" w:hAnsi="David"/>
          <w:noProof w:val="0"/>
          <w:rtl/>
        </w:rPr>
      </w:pPr>
      <w:r>
        <w:rPr>
          <w:rFonts w:ascii="David" w:hAnsi="David"/>
          <w:noProof w:val="0"/>
          <w:rtl/>
        </w:rPr>
        <w:tab/>
        <w:t xml:space="preserve">עיון בנתוני הבקשה קמא וההחלטה קמא מלמד, כי בית משפט קמא אמד את הכנסות הצדדים כפי שהובאו בפניו בשלב זה של ההליך, </w:t>
      </w:r>
      <w:r w:rsidR="00433680" w:rsidRPr="00433680">
        <w:rPr>
          <w:rFonts w:ascii="David" w:hAnsi="David" w:hint="cs"/>
          <w:noProof w:val="0"/>
          <w:u w:val="single"/>
          <w:rtl/>
        </w:rPr>
        <w:t>כש</w:t>
      </w:r>
      <w:r w:rsidRPr="00433680">
        <w:rPr>
          <w:rFonts w:ascii="David" w:hAnsi="David"/>
          <w:noProof w:val="0"/>
          <w:u w:val="single"/>
          <w:rtl/>
        </w:rPr>
        <w:t>מדובר בתמונה חלקית למדי, וזמנית</w:t>
      </w:r>
      <w:r>
        <w:rPr>
          <w:rFonts w:ascii="David" w:hAnsi="David"/>
          <w:noProof w:val="0"/>
          <w:rtl/>
        </w:rPr>
        <w:t xml:space="preserve">. </w:t>
      </w:r>
    </w:p>
    <w:p w:rsidR="002A709C" w:rsidRDefault="002A709C" w:rsidP="007417E4">
      <w:pPr>
        <w:spacing w:after="120" w:line="360" w:lineRule="auto"/>
        <w:ind w:left="720" w:hanging="720"/>
        <w:jc w:val="both"/>
        <w:rPr>
          <w:rFonts w:ascii="David" w:hAnsi="David"/>
          <w:noProof w:val="0"/>
          <w:rtl/>
        </w:rPr>
      </w:pPr>
      <w:r>
        <w:rPr>
          <w:rFonts w:ascii="David" w:hAnsi="David"/>
          <w:noProof w:val="0"/>
          <w:rtl/>
        </w:rPr>
        <w:tab/>
        <w:t xml:space="preserve">נקבע כי הכנסתה החודשית של המבקשת עומדת על 8480 ש"ח, לעומת </w:t>
      </w:r>
      <w:r w:rsidR="00433680">
        <w:rPr>
          <w:rFonts w:ascii="David" w:hAnsi="David"/>
          <w:noProof w:val="0"/>
          <w:rtl/>
        </w:rPr>
        <w:t xml:space="preserve">הכנסת המבקש העומדת על 12,921 ₪ </w:t>
      </w:r>
      <w:r w:rsidR="00433680">
        <w:rPr>
          <w:rFonts w:ascii="David" w:hAnsi="David" w:hint="cs"/>
          <w:noProof w:val="0"/>
          <w:rtl/>
        </w:rPr>
        <w:t>{</w:t>
      </w:r>
      <w:r>
        <w:rPr>
          <w:rFonts w:ascii="David" w:hAnsi="David"/>
          <w:noProof w:val="0"/>
          <w:rtl/>
        </w:rPr>
        <w:t xml:space="preserve">ודוק – בנקודה זו לא מצאתי לנכון לכלול את קצבת הנכות של בנו של המשיב, כחלק מהכנסות משק ביתו של המשיב, היות שהקצבה מיועדת לצרכי הקטין הנובעים מנכותו. בכל מקרה עניין זה דינו להתברר במסגרת הבאת ראיות בהליך העיקרי ולא בהחלטה למזונות ארעיים – </w:t>
      </w:r>
      <w:r>
        <w:rPr>
          <w:rFonts w:ascii="David" w:hAnsi="David"/>
          <w:b/>
          <w:bCs/>
          <w:noProof w:val="0"/>
          <w:rtl/>
        </w:rPr>
        <w:t>ראו למשל</w:t>
      </w:r>
      <w:r>
        <w:rPr>
          <w:rFonts w:ascii="David" w:hAnsi="David"/>
          <w:noProof w:val="0"/>
          <w:rtl/>
        </w:rPr>
        <w:t xml:space="preserve">: רמ"ש (חי') 73968-05-23 </w:t>
      </w:r>
      <w:r>
        <w:rPr>
          <w:rFonts w:ascii="David" w:hAnsi="David"/>
          <w:b/>
          <w:bCs/>
          <w:noProof w:val="0"/>
          <w:rtl/>
        </w:rPr>
        <w:t>ב' נ' ב'</w:t>
      </w:r>
      <w:r>
        <w:rPr>
          <w:rFonts w:ascii="David" w:hAnsi="David"/>
          <w:noProof w:val="0"/>
          <w:rtl/>
        </w:rPr>
        <w:t xml:space="preserve"> (2.7.2023); רמ"ש (חי') 37671-07-24 </w:t>
      </w:r>
      <w:r>
        <w:rPr>
          <w:rFonts w:ascii="David" w:hAnsi="David"/>
          <w:b/>
          <w:bCs/>
          <w:noProof w:val="0"/>
          <w:rtl/>
        </w:rPr>
        <w:t>ס' נ' נ'</w:t>
      </w:r>
      <w:r>
        <w:rPr>
          <w:rFonts w:ascii="David" w:hAnsi="David"/>
          <w:noProof w:val="0"/>
          <w:rtl/>
        </w:rPr>
        <w:t xml:space="preserve"> (16.7.2024) פסקאות 19-22)</w:t>
      </w:r>
      <w:r w:rsidR="00433680">
        <w:rPr>
          <w:rFonts w:ascii="David" w:hAnsi="David" w:hint="cs"/>
          <w:noProof w:val="0"/>
          <w:rtl/>
        </w:rPr>
        <w:t>}</w:t>
      </w:r>
      <w:r>
        <w:rPr>
          <w:rFonts w:ascii="David" w:hAnsi="David"/>
          <w:noProof w:val="0"/>
          <w:rtl/>
        </w:rPr>
        <w:t>.</w:t>
      </w:r>
    </w:p>
    <w:p w:rsidR="002A709C" w:rsidRDefault="002A709C" w:rsidP="007417E4">
      <w:pPr>
        <w:spacing w:after="120" w:line="360" w:lineRule="auto"/>
        <w:ind w:left="720" w:hanging="720"/>
        <w:jc w:val="both"/>
        <w:rPr>
          <w:rFonts w:ascii="David" w:hAnsi="David"/>
          <w:noProof w:val="0"/>
          <w:rtl/>
        </w:rPr>
      </w:pPr>
      <w:r>
        <w:rPr>
          <w:rFonts w:ascii="David" w:hAnsi="David"/>
          <w:noProof w:val="0"/>
          <w:rtl/>
        </w:rPr>
        <w:tab/>
      </w:r>
      <w:r>
        <w:rPr>
          <w:rFonts w:ascii="David" w:hAnsi="David"/>
          <w:b/>
          <w:bCs/>
          <w:noProof w:val="0"/>
          <w:rtl/>
        </w:rPr>
        <w:t>היינו יחס הכנסות הצדדים עומד על 65-35 לטובת המשיב</w:t>
      </w:r>
      <w:r>
        <w:rPr>
          <w:rFonts w:ascii="David" w:hAnsi="David"/>
          <w:noProof w:val="0"/>
          <w:rtl/>
        </w:rPr>
        <w:t>.</w:t>
      </w:r>
    </w:p>
    <w:p w:rsidR="002A709C" w:rsidRDefault="002A709C" w:rsidP="007417E4">
      <w:pPr>
        <w:spacing w:after="120" w:line="360" w:lineRule="auto"/>
        <w:ind w:left="720" w:hanging="720"/>
        <w:jc w:val="both"/>
        <w:rPr>
          <w:rFonts w:ascii="David" w:hAnsi="David"/>
          <w:noProof w:val="0"/>
          <w:rtl/>
        </w:rPr>
      </w:pPr>
      <w:r>
        <w:rPr>
          <w:rFonts w:ascii="David" w:hAnsi="David"/>
          <w:noProof w:val="0"/>
          <w:rtl/>
        </w:rPr>
        <w:tab/>
        <w:t xml:space="preserve">צרכי הקטין לרבות מדורו והוצאות אחזקת המדור נקבעו בסך 2836 ₪, מתוכם הושת על המשיב לשלם 1800 ₪, שהם 63% מהסך הכולל. </w:t>
      </w:r>
      <w:r>
        <w:rPr>
          <w:rFonts w:ascii="David" w:hAnsi="David"/>
          <w:b/>
          <w:bCs/>
          <w:noProof w:val="0"/>
          <w:rtl/>
        </w:rPr>
        <w:t>היינו בית משפט קמא פסק את מזונות הקטין</w:t>
      </w:r>
      <w:r w:rsidR="00433680">
        <w:rPr>
          <w:rFonts w:ascii="David" w:hAnsi="David" w:hint="cs"/>
          <w:b/>
          <w:bCs/>
          <w:noProof w:val="0"/>
          <w:rtl/>
        </w:rPr>
        <w:t xml:space="preserve"> בשלב הנדון</w:t>
      </w:r>
      <w:r>
        <w:rPr>
          <w:rFonts w:ascii="David" w:hAnsi="David"/>
          <w:b/>
          <w:bCs/>
          <w:noProof w:val="0"/>
          <w:rtl/>
        </w:rPr>
        <w:t xml:space="preserve"> בהתאם ליחס הכנסות הצדדים.</w:t>
      </w:r>
    </w:p>
    <w:p w:rsidR="002A709C" w:rsidRDefault="002A709C" w:rsidP="007417E4">
      <w:pPr>
        <w:spacing w:after="120" w:line="360" w:lineRule="auto"/>
        <w:ind w:left="720" w:hanging="720"/>
        <w:jc w:val="both"/>
        <w:rPr>
          <w:rFonts w:ascii="David" w:hAnsi="David"/>
          <w:noProof w:val="0"/>
          <w:rtl/>
        </w:rPr>
      </w:pPr>
      <w:r>
        <w:rPr>
          <w:rFonts w:ascii="David" w:hAnsi="David"/>
          <w:noProof w:val="0"/>
          <w:rtl/>
        </w:rPr>
        <w:t>17.</w:t>
      </w:r>
      <w:r>
        <w:rPr>
          <w:rFonts w:ascii="David" w:hAnsi="David"/>
          <w:noProof w:val="0"/>
          <w:rtl/>
        </w:rPr>
        <w:tab/>
        <w:t>מודע אני לטענת המבקשת, לפיה לנוכח היעדר זמני שהות הקטין עם אביו המשיב היה מקום לחייבו לשאת במלוא חיוב מזונות הקטין, אולם סבורני כי בנקודת זמן זו אין להתערב בהחלטה קמא, לנוכח ארעיותה, ונפנה לדברינו בנושא בסעיף 15 לעיל.</w:t>
      </w:r>
    </w:p>
    <w:p w:rsidR="00E7523E" w:rsidRDefault="00E7523E" w:rsidP="007417E4">
      <w:pPr>
        <w:spacing w:after="120" w:line="360" w:lineRule="auto"/>
        <w:ind w:left="720" w:hanging="720"/>
        <w:jc w:val="both"/>
        <w:rPr>
          <w:rFonts w:ascii="David" w:hAnsi="David"/>
          <w:noProof w:val="0"/>
          <w:rtl/>
        </w:rPr>
      </w:pPr>
      <w:r>
        <w:rPr>
          <w:rFonts w:ascii="David" w:hAnsi="David"/>
          <w:noProof w:val="0"/>
          <w:rtl/>
        </w:rPr>
        <w:tab/>
      </w:r>
      <w:r>
        <w:rPr>
          <w:rFonts w:ascii="David" w:hAnsi="David" w:hint="cs"/>
          <w:noProof w:val="0"/>
          <w:rtl/>
        </w:rPr>
        <w:t xml:space="preserve">זאת </w:t>
      </w:r>
      <w:r w:rsidR="00756B01">
        <w:rPr>
          <w:rFonts w:ascii="David" w:hAnsi="David" w:hint="cs"/>
          <w:noProof w:val="0"/>
          <w:rtl/>
        </w:rPr>
        <w:t xml:space="preserve">גם לנוכח טענת המשיב, </w:t>
      </w:r>
      <w:r>
        <w:rPr>
          <w:rFonts w:ascii="David" w:hAnsi="David" w:hint="cs"/>
          <w:noProof w:val="0"/>
          <w:rtl/>
        </w:rPr>
        <w:t>כפי שבאה</w:t>
      </w:r>
      <w:r w:rsidR="00756B01">
        <w:rPr>
          <w:rFonts w:ascii="David" w:hAnsi="David" w:hint="cs"/>
          <w:noProof w:val="0"/>
          <w:rtl/>
        </w:rPr>
        <w:t xml:space="preserve"> לידי ביטוי</w:t>
      </w:r>
      <w:r>
        <w:rPr>
          <w:rFonts w:ascii="David" w:hAnsi="David" w:hint="cs"/>
          <w:noProof w:val="0"/>
          <w:rtl/>
        </w:rPr>
        <w:t xml:space="preserve"> בתגובתו לבקשה קמא, כי יש בכוונתו להגיש בקשה להסדרת זמני שהותו עם הקטין. </w:t>
      </w:r>
    </w:p>
    <w:p w:rsidR="00E7523E" w:rsidRDefault="00E7523E" w:rsidP="007417E4">
      <w:pPr>
        <w:spacing w:after="120" w:line="360" w:lineRule="auto"/>
        <w:ind w:left="720" w:hanging="720"/>
        <w:jc w:val="both"/>
        <w:rPr>
          <w:rFonts w:ascii="David" w:hAnsi="David"/>
          <w:noProof w:val="0"/>
          <w:rtl/>
        </w:rPr>
      </w:pPr>
      <w:r>
        <w:rPr>
          <w:rFonts w:ascii="David" w:hAnsi="David"/>
          <w:noProof w:val="0"/>
          <w:rtl/>
        </w:rPr>
        <w:tab/>
      </w:r>
      <w:r>
        <w:rPr>
          <w:rFonts w:ascii="David" w:hAnsi="David" w:hint="cs"/>
          <w:noProof w:val="0"/>
          <w:rtl/>
        </w:rPr>
        <w:t xml:space="preserve">סביר כי ככל שתוגש תביעה למשמורת ו/או </w:t>
      </w:r>
      <w:r w:rsidR="00756B01">
        <w:rPr>
          <w:rFonts w:ascii="David" w:hAnsi="David" w:hint="cs"/>
          <w:noProof w:val="0"/>
          <w:rtl/>
        </w:rPr>
        <w:t>ל</w:t>
      </w:r>
      <w:r>
        <w:rPr>
          <w:rFonts w:ascii="David" w:hAnsi="David" w:hint="cs"/>
          <w:noProof w:val="0"/>
          <w:rtl/>
        </w:rPr>
        <w:t>מזונות</w:t>
      </w:r>
      <w:r w:rsidR="00756B01">
        <w:rPr>
          <w:rFonts w:ascii="David" w:hAnsi="David" w:hint="cs"/>
          <w:noProof w:val="0"/>
          <w:rtl/>
        </w:rPr>
        <w:t xml:space="preserve"> הקטין</w:t>
      </w:r>
      <w:r>
        <w:rPr>
          <w:rFonts w:ascii="David" w:hAnsi="David" w:hint="cs"/>
          <w:noProof w:val="0"/>
          <w:rtl/>
        </w:rPr>
        <w:t xml:space="preserve"> על ידי מי מהצדדים, תיבחן סוגיית זמני השהות של הקטין עם האב, והשלכתה על סכום המזונות, אף הזמניים, על ידי בית משפט קמא.</w:t>
      </w:r>
    </w:p>
    <w:p w:rsidR="002A709C" w:rsidRDefault="002A709C" w:rsidP="007417E4">
      <w:pPr>
        <w:spacing w:after="120" w:line="360" w:lineRule="auto"/>
        <w:ind w:left="708" w:hanging="709"/>
        <w:jc w:val="both"/>
        <w:rPr>
          <w:rFonts w:ascii="David" w:hAnsi="David"/>
          <w:b/>
          <w:bCs/>
          <w:noProof w:val="0"/>
          <w:rtl/>
        </w:rPr>
      </w:pPr>
      <w:r>
        <w:rPr>
          <w:rFonts w:ascii="David" w:hAnsi="David"/>
          <w:noProof w:val="0"/>
          <w:rtl/>
        </w:rPr>
        <w:t>18.</w:t>
      </w:r>
      <w:r>
        <w:rPr>
          <w:rFonts w:ascii="David" w:hAnsi="David"/>
          <w:noProof w:val="0"/>
          <w:rtl/>
        </w:rPr>
        <w:tab/>
        <w:t xml:space="preserve">לא זו אף זו. דין טענות המבקשת באשר ליכולת השתכרות המשיב, וקיומן או היעדרן של הכנסות שונות, </w:t>
      </w:r>
      <w:r w:rsidR="00E7523E">
        <w:rPr>
          <w:rFonts w:ascii="David" w:hAnsi="David" w:hint="cs"/>
          <w:noProof w:val="0"/>
          <w:rtl/>
        </w:rPr>
        <w:t xml:space="preserve">אף לא מדווחות, </w:t>
      </w:r>
      <w:r>
        <w:rPr>
          <w:rFonts w:ascii="David" w:hAnsi="David"/>
          <w:noProof w:val="0"/>
          <w:rtl/>
        </w:rPr>
        <w:t xml:space="preserve">להתברר לעומקן במסגרת הליך הוכחות והבאת ראיות, חקירת הצדדים ועדים, אשר יקבע בתובענה שתוגש, ככל שתוגש, לקביעת מזונות הקטין. אין מקום במסגרת הליך פסיקת מזונות </w:t>
      </w:r>
      <w:r>
        <w:rPr>
          <w:rFonts w:ascii="David" w:hAnsi="David"/>
          <w:noProof w:val="0"/>
          <w:rtl/>
        </w:rPr>
        <w:lastRenderedPageBreak/>
        <w:t>זמניים, קל וחומר ארעיים, אשר הוא מהיר ונשען על תמונה חלקית בלבד, להכריע כבר ולקבוע מסמרות בכל הקשור להכנסות מי מהצדדים ויכולת השתכרותם.</w:t>
      </w:r>
    </w:p>
    <w:p w:rsidR="002A709C" w:rsidRDefault="002A709C" w:rsidP="007417E4">
      <w:pPr>
        <w:spacing w:after="120" w:line="360" w:lineRule="auto"/>
        <w:ind w:left="720" w:hanging="720"/>
        <w:jc w:val="both"/>
        <w:rPr>
          <w:rFonts w:ascii="David" w:hAnsi="David"/>
          <w:noProof w:val="0"/>
          <w:rtl/>
        </w:rPr>
      </w:pPr>
      <w:r>
        <w:rPr>
          <w:rFonts w:ascii="David" w:hAnsi="David"/>
          <w:noProof w:val="0"/>
          <w:rtl/>
        </w:rPr>
        <w:t>19.</w:t>
      </w:r>
      <w:r>
        <w:rPr>
          <w:rFonts w:ascii="David" w:hAnsi="David"/>
          <w:noProof w:val="0"/>
          <w:rtl/>
        </w:rPr>
        <w:tab/>
      </w:r>
      <w:r>
        <w:rPr>
          <w:rFonts w:ascii="David" w:hAnsi="David"/>
          <w:b/>
          <w:bCs/>
          <w:noProof w:val="0"/>
          <w:rtl/>
        </w:rPr>
        <w:t xml:space="preserve">לאור האמור לעיל, ניכר כי בית משפט קמא שקל שיקולים רלוונטיים עת פסק את המזונות הארעיים, תוך ראיית התמונה הרחבה, ככל האפשר בנסיבות התיק קמא והצדדים, שחלקיו עדיין לא התבררו עד תומם בשלב זה של הדיון.  </w:t>
      </w:r>
      <w:r>
        <w:rPr>
          <w:rFonts w:ascii="David" w:hAnsi="David"/>
          <w:noProof w:val="0"/>
          <w:rtl/>
        </w:rPr>
        <w:t xml:space="preserve">כאמור לעיל, מדובר בהחלטה זמנית בלבד, שאינה סופית ומועדת לשינוי. </w:t>
      </w:r>
    </w:p>
    <w:p w:rsidR="002A709C" w:rsidRDefault="002A709C" w:rsidP="007417E4">
      <w:pPr>
        <w:spacing w:after="120" w:line="360" w:lineRule="auto"/>
        <w:ind w:left="720"/>
        <w:jc w:val="both"/>
        <w:rPr>
          <w:rFonts w:ascii="David" w:hAnsi="David"/>
          <w:noProof w:val="0"/>
          <w:rtl/>
        </w:rPr>
      </w:pPr>
      <w:r>
        <w:rPr>
          <w:rFonts w:ascii="David" w:hAnsi="David"/>
          <w:noProof w:val="0"/>
          <w:rtl/>
        </w:rPr>
        <w:t xml:space="preserve">עוד נזכיר, כי החלטת מזונות זמניים היא כספית במהותה, וככזו היא הפיכה. </w:t>
      </w:r>
      <w:r>
        <w:rPr>
          <w:rFonts w:ascii="Arial" w:hAnsi="Arial"/>
          <w:rtl/>
        </w:rPr>
        <w:t>ככל שיתברר לאחר הגשת תובענה למזונות הקטין, ככל שתוגש, כי נפלה טעות בקביעת גובה המזונות, ניתן יהיה לתקן זאת על ידי שינוי הסכומים לעבר לעתיד.</w:t>
      </w:r>
    </w:p>
    <w:p w:rsidR="002A709C" w:rsidRDefault="002A709C" w:rsidP="007417E4">
      <w:pPr>
        <w:spacing w:after="120" w:line="360" w:lineRule="auto"/>
        <w:ind w:left="720" w:hanging="720"/>
        <w:jc w:val="both"/>
        <w:rPr>
          <w:rFonts w:ascii="David" w:hAnsi="David"/>
          <w:noProof w:val="0"/>
          <w:rtl/>
        </w:rPr>
      </w:pPr>
      <w:r>
        <w:rPr>
          <w:rFonts w:ascii="David" w:hAnsi="David"/>
          <w:noProof w:val="0"/>
          <w:rtl/>
        </w:rPr>
        <w:t xml:space="preserve"> </w:t>
      </w:r>
    </w:p>
    <w:p w:rsidR="002A709C" w:rsidRDefault="002A709C" w:rsidP="007417E4">
      <w:pPr>
        <w:spacing w:after="120" w:line="360" w:lineRule="auto"/>
        <w:rPr>
          <w:rFonts w:ascii="Arial" w:hAnsi="Arial"/>
          <w:b/>
          <w:bCs/>
          <w:u w:val="single"/>
          <w:rtl/>
        </w:rPr>
      </w:pPr>
      <w:r>
        <w:rPr>
          <w:rFonts w:ascii="Arial" w:hAnsi="Arial"/>
          <w:b/>
          <w:bCs/>
          <w:u w:val="single"/>
          <w:rtl/>
        </w:rPr>
        <w:t>סוף דבר</w:t>
      </w:r>
    </w:p>
    <w:p w:rsidR="002A709C" w:rsidRDefault="002A709C" w:rsidP="007417E4">
      <w:pPr>
        <w:spacing w:after="120" w:line="360" w:lineRule="auto"/>
        <w:rPr>
          <w:rFonts w:ascii="Arial" w:hAnsi="Arial"/>
          <w:rtl/>
        </w:rPr>
      </w:pPr>
      <w:r>
        <w:rPr>
          <w:rFonts w:ascii="Arial" w:hAnsi="Arial"/>
          <w:rtl/>
        </w:rPr>
        <w:t>20.</w:t>
      </w:r>
      <w:r>
        <w:rPr>
          <w:rFonts w:ascii="Arial" w:hAnsi="Arial"/>
          <w:rtl/>
        </w:rPr>
        <w:tab/>
      </w:r>
      <w:r>
        <w:rPr>
          <w:rFonts w:ascii="Arial" w:hAnsi="Arial"/>
          <w:b/>
          <w:bCs/>
          <w:rtl/>
        </w:rPr>
        <w:t>לאור כל האמור לעיל אני מורה על דחיית בקשת רשות הערעור.</w:t>
      </w:r>
    </w:p>
    <w:p w:rsidR="002A709C" w:rsidRDefault="002A709C" w:rsidP="007417E4">
      <w:pPr>
        <w:spacing w:after="120" w:line="360" w:lineRule="auto"/>
        <w:ind w:left="720" w:hanging="720"/>
        <w:jc w:val="both"/>
        <w:rPr>
          <w:rFonts w:ascii="Arial" w:hAnsi="Arial"/>
          <w:b/>
          <w:bCs/>
          <w:noProof w:val="0"/>
          <w:rtl/>
        </w:rPr>
      </w:pPr>
      <w:r>
        <w:rPr>
          <w:rFonts w:ascii="Arial" w:hAnsi="Arial"/>
          <w:rtl/>
        </w:rPr>
        <w:t>21.</w:t>
      </w:r>
      <w:r>
        <w:rPr>
          <w:rFonts w:ascii="Arial" w:hAnsi="Arial"/>
          <w:rtl/>
        </w:rPr>
        <w:tab/>
        <w:t>משלא התבקשה תשובה, אין צו להוצאות.</w:t>
      </w:r>
      <w:r>
        <w:rPr>
          <w:rFonts w:ascii="Arial" w:hAnsi="Arial"/>
          <w:noProof w:val="0"/>
          <w:rtl/>
        </w:rPr>
        <w:t xml:space="preserve"> </w:t>
      </w:r>
    </w:p>
    <w:p w:rsidR="00F150F7" w:rsidRDefault="00F150F7" w:rsidP="007417E4">
      <w:pPr>
        <w:spacing w:after="120" w:line="360" w:lineRule="auto"/>
        <w:ind w:left="720" w:hanging="720"/>
        <w:jc w:val="both"/>
        <w:rPr>
          <w:rFonts w:ascii="Arial" w:hAnsi="Arial"/>
          <w:b/>
          <w:bCs/>
          <w:noProof w:val="0"/>
          <w:rtl/>
        </w:rPr>
      </w:pPr>
    </w:p>
    <w:p w:rsidR="00694556" w:rsidRPr="00B95D6E" w:rsidRDefault="002A709C" w:rsidP="00756B01">
      <w:pPr>
        <w:spacing w:after="120" w:line="360" w:lineRule="auto"/>
        <w:jc w:val="both"/>
        <w:rPr>
          <w:rFonts w:ascii="Arial" w:hAnsi="Arial"/>
          <w:noProof w:val="0"/>
          <w:rtl/>
        </w:rPr>
      </w:pPr>
      <w:r>
        <w:rPr>
          <w:rFonts w:ascii="Arial" w:hAnsi="Arial"/>
          <w:b/>
          <w:bCs/>
          <w:noProof w:val="0"/>
          <w:rtl/>
        </w:rPr>
        <w:t>החלטה זאת מותרת לפרסום תוך השמטת שמות הצדדים וכל פרט מזהה אחר.</w:t>
      </w: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ו' תשרי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08 אוקטובר 2024</w:t>
          </w:r>
        </w:sdtContent>
      </w:sdt>
      <w:r w:rsidR="00005C8B">
        <w:rPr>
          <w:rFonts w:ascii="Arial" w:hAnsi="Arial"/>
          <w:noProof w:val="0"/>
          <w:rtl/>
        </w:rPr>
        <w:t>, בהעדר הצדדים.</w:t>
      </w:r>
    </w:p>
    <w:p w:rsidR="00C43648" w:rsidRDefault="00E41700"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778985755"/>
        </w:sdtPr>
        <w:sdtEndPr/>
        <w:sdtContent>
          <w:r w:rsidR="00853463">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7417E4">
      <w:headerReference w:type="even" r:id="rId10"/>
      <w:headerReference w:type="default" r:id="rId11"/>
      <w:footerReference w:type="even" r:id="rId12"/>
      <w:footerReference w:type="default" r:id="rId13"/>
      <w:headerReference w:type="first" r:id="rId14"/>
      <w:footerReference w:type="first" r:id="rId15"/>
      <w:pgSz w:w="11907" w:h="16840" w:code="9"/>
      <w:pgMar w:top="1440" w:right="992" w:bottom="1440" w:left="1418"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1700" w:rsidRDefault="00E41700">
      <w:r>
        <w:separator/>
      </w:r>
    </w:p>
  </w:endnote>
  <w:endnote w:type="continuationSeparator" w:id="0">
    <w:p w:rsidR="00E41700" w:rsidRDefault="00E41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450" w:rsidRDefault="0099345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6A6238">
      <w:rPr>
        <w:rStyle w:val="ab"/>
        <w:rFonts w:ascii="David" w:hAnsi="David"/>
        <w:rtl/>
      </w:rPr>
      <w:t>1</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6A6238">
      <w:rPr>
        <w:rStyle w:val="ab"/>
        <w:rFonts w:ascii="David" w:hAnsi="David"/>
        <w:rtl/>
      </w:rPr>
      <w:t>7</w:t>
    </w:r>
    <w:r w:rsidRPr="00E765F7">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450" w:rsidRDefault="0099345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1700" w:rsidRDefault="00E41700">
      <w:r>
        <w:separator/>
      </w:r>
    </w:p>
  </w:footnote>
  <w:footnote w:type="continuationSeparator" w:id="0">
    <w:p w:rsidR="00E41700" w:rsidRDefault="00E41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450" w:rsidRDefault="0099345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0"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2A709C" w:rsidRDefault="00E41700" w:rsidP="00462F68">
          <w:pPr>
            <w:rPr>
              <w:b/>
              <w:bCs/>
              <w:noProof w:val="0"/>
              <w:sz w:val="26"/>
              <w:szCs w:val="26"/>
              <w:rtl/>
            </w:rPr>
          </w:pPr>
          <w:sdt>
            <w:sdtPr>
              <w:rPr>
                <w:rtl/>
              </w:rPr>
              <w:alias w:val="1170"/>
              <w:tag w:val="1170"/>
              <w:id w:val="1066377040"/>
              <w:text w:multiLine="1"/>
            </w:sdtPr>
            <w:sdtEndPr/>
            <w:sdtContent>
              <w:r w:rsidR="00E765F7">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E765F7">
                <w:rPr>
                  <w:b/>
                  <w:bCs/>
                  <w:noProof w:val="0"/>
                  <w:sz w:val="26"/>
                  <w:szCs w:val="26"/>
                  <w:rtl/>
                </w:rPr>
                <w:t>7352-10-24</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462F68">
                <w:rPr>
                  <w:rFonts w:hint="cs"/>
                  <w:b/>
                  <w:bCs/>
                  <w:noProof w:val="0"/>
                  <w:sz w:val="26"/>
                  <w:szCs w:val="26"/>
                  <w:rtl/>
                </w:rPr>
                <w:t>ר'</w:t>
              </w:r>
              <w:r w:rsidR="00E765F7">
                <w:rPr>
                  <w:b/>
                  <w:bCs/>
                  <w:noProof w:val="0"/>
                  <w:sz w:val="26"/>
                  <w:szCs w:val="26"/>
                  <w:rtl/>
                </w:rPr>
                <w:t xml:space="preserve"> נ' </w:t>
              </w:r>
              <w:r w:rsidR="00462F68">
                <w:rPr>
                  <w:rFonts w:hint="cs"/>
                  <w:b/>
                  <w:bCs/>
                  <w:noProof w:val="0"/>
                  <w:sz w:val="26"/>
                  <w:szCs w:val="26"/>
                  <w:rtl/>
                </w:rPr>
                <w:t>ר'</w:t>
              </w:r>
            </w:sdtContent>
          </w:sdt>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450" w:rsidRDefault="0099345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201664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2016645&amp;lt;/CaseID&amp;gt;_x000d__x000a_        &amp;lt;CaseMonth&amp;gt;10&amp;lt;/CaseMonth&amp;gt;_x000d__x000a_        &amp;lt;CaseYear&amp;gt;2024&amp;lt;/CaseYear&amp;gt;_x000d__x000a_        &amp;lt;CaseNumber&amp;gt;7352&amp;lt;/CaseNumber&amp;gt;_x000d__x000a_        &amp;lt;NumeratorGroupID&amp;gt;1&amp;lt;/NumeratorGroupID&amp;gt;_x000d__x000a_        &amp;lt;CaseName&amp;gt;רחמים נ&amp;#39; רחמים&amp;lt;/CaseName&amp;gt;_x000d__x000a_        &amp;lt;CourtID&amp;gt;13&amp;lt;/CourtID&amp;gt;_x000d__x000a_        &amp;lt;CaseTypeID&amp;gt;10074&amp;lt;/CaseTypeID&amp;gt;_x000d__x000a_        &amp;lt;CaseInterestID&amp;gt;1064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7352-10-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57&amp;lt;/CaseNextDeterminingTask&amp;gt;_x000d__x000a_        &amp;lt;CaseOpenDate&amp;gt;2024-10-06T13:18: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עבר ללשכה&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2016645&amp;lt;/CaseID&amp;gt;_x000d__x000a_        &amp;lt;CaseMonth&amp;gt;10&amp;lt;/CaseMonth&amp;gt;_x000d__x000a_        &amp;lt;CaseYear&amp;gt;2024&amp;lt;/CaseYear&amp;gt;_x000d__x000a_        &amp;lt;CaseNumber&amp;gt;7352&amp;lt;/CaseNumber&amp;gt;_x000d__x000a_        &amp;lt;NumeratorGroupID&amp;gt;1&amp;lt;/NumeratorGroupID&amp;gt;_x000d__x000a_        &amp;lt;CaseName&amp;gt;רחמים נ&amp;#39; רחמים&amp;lt;/CaseName&amp;gt;_x000d__x000a_        &amp;lt;CourtID&amp;gt;13&amp;lt;/CourtID&amp;gt;_x000d__x000a_        &amp;lt;CaseTypeID&amp;gt;10074&amp;lt;/CaseTypeID&amp;gt;_x000d__x000a_        &amp;lt;CaseInterestID&amp;gt;1064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7352-10-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NextDeterminingTask&amp;gt;157&amp;lt;/CaseNextDeterminingTask&amp;gt;_x000d__x000a_        &amp;lt;CaseOpenDate&amp;gt;2024-10-06T13:18: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עבר ללשכ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363187&amp;lt;/DecisionID&amp;gt;_x000d__x000a_        &amp;lt;DecisionName&amp;gt;החלטה  שניתנה ע&amp;quot;י  חננאל שרעבי&amp;lt;/DecisionName&amp;gt;_x000d__x000a_        &amp;lt;DecisionStatusID&amp;gt;1&amp;lt;/DecisionStatusID&amp;gt;_x000d__x000a_        &amp;lt;DecisionStatusChangeDate&amp;gt;2024-10-08T10:43:14.583+03:00&amp;lt;/DecisionStatusChangeDate&amp;gt;_x000d__x000a_        &amp;lt;DecisionSignatureDate&amp;gt;2024-10-08T10:37:31.49+03:00&amp;lt;/DecisionSignatureDate&amp;gt;_x000d__x000a_        &amp;lt;DecisionSignatureUserID&amp;gt;056479827@GOV.IL&amp;lt;/DecisionSignatureUserID&amp;gt;_x000d__x000a_        &amp;lt;DecisionCreateDate&amp;gt;2024-10-08T10:40:37.643+03:00&amp;lt;/DecisionCreateDate&amp;gt;_x000d__x000a_        &amp;lt;DecisionChangeDate&amp;gt;2024-10-08T10:43:14.7+03:00&amp;lt;/DecisionChangeDate&amp;gt;_x000d__x000a_        &amp;lt;DecisionChangeUserID&amp;gt;0433687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731717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368745@GOV.IL&amp;lt;/DecisionCreationUserID&amp;gt;_x000d__x000a_        &amp;lt;DecisionDisplayName&amp;gt;החלטה  שניתנה ע&amp;quot;י  חננאל שרעבי&amp;lt;/DecisionDisplayName&amp;gt;_x000d__x000a_        &amp;lt;IsScanned&amp;gt;false&amp;lt;/IsScanned&amp;gt;_x000d__x000a_        &amp;lt;DecisionSignatureUserName&amp;gt;חננאל שרעב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amp;gt;_x000d__x000a_        &amp;lt;DecisionID&amp;gt;155363187&amp;lt;/DecisionID&amp;gt;_x000d__x000a_        &amp;lt;CaseID&amp;gt;82016645&amp;lt;/CaseID&amp;gt;_x000d__x000a_        &amp;lt;IsOriginal&amp;gt;true&amp;lt;/IsOriginal&amp;gt;_x000d__x000a_        &amp;lt;IsDeleted&amp;gt;false&amp;lt;/IsDeleted&amp;gt;_x000d__x000a_        &amp;lt;CaseName&amp;gt;רחמים נ&amp;#39; רחמים&amp;lt;/CaseName&amp;gt;_x000d__x000a_        &amp;lt;CaseDisplayIdentifier&amp;gt;7352-10-24 רמ&amp;quot;ש&amp;lt;/CaseDisplayIdentifier&amp;gt;_x000d__x000a_      &amp;lt;/dt_DecisionCase&amp;gt;_x000d__x000a_    &amp;lt;/DecisionDS&amp;gt;_x000d__x000a_  &amp;lt;/diffgr:diffgram&amp;gt;_x000d__x000a_&amp;lt;/DecisionDS&amp;gt;"/>
    <w:docVar w:name="DecisionID" w:val="155363187"/>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5B97"/>
    <w:rsid w:val="00271B56"/>
    <w:rsid w:val="00297E46"/>
    <w:rsid w:val="002A709C"/>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3125D"/>
    <w:rsid w:val="00433680"/>
    <w:rsid w:val="0043502B"/>
    <w:rsid w:val="004443AC"/>
    <w:rsid w:val="00444B02"/>
    <w:rsid w:val="00451E28"/>
    <w:rsid w:val="004549C7"/>
    <w:rsid w:val="00462C62"/>
    <w:rsid w:val="00462F68"/>
    <w:rsid w:val="00465D36"/>
    <w:rsid w:val="004843CD"/>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F4F09"/>
    <w:rsid w:val="0061431B"/>
    <w:rsid w:val="00622BAA"/>
    <w:rsid w:val="006306CF"/>
    <w:rsid w:val="006318D8"/>
    <w:rsid w:val="00644E9A"/>
    <w:rsid w:val="00671BD5"/>
    <w:rsid w:val="006805C1"/>
    <w:rsid w:val="00686C21"/>
    <w:rsid w:val="006931C1"/>
    <w:rsid w:val="00694556"/>
    <w:rsid w:val="006A6238"/>
    <w:rsid w:val="006B7258"/>
    <w:rsid w:val="006C30C5"/>
    <w:rsid w:val="006D3B31"/>
    <w:rsid w:val="006E0D96"/>
    <w:rsid w:val="006E1A53"/>
    <w:rsid w:val="006F56E6"/>
    <w:rsid w:val="00704EDA"/>
    <w:rsid w:val="00721122"/>
    <w:rsid w:val="00734689"/>
    <w:rsid w:val="007417E4"/>
    <w:rsid w:val="00753019"/>
    <w:rsid w:val="00754801"/>
    <w:rsid w:val="00756B01"/>
    <w:rsid w:val="00761441"/>
    <w:rsid w:val="0077477D"/>
    <w:rsid w:val="00795365"/>
    <w:rsid w:val="007A351D"/>
    <w:rsid w:val="007B7765"/>
    <w:rsid w:val="007C5BDD"/>
    <w:rsid w:val="007D45E3"/>
    <w:rsid w:val="007E6115"/>
    <w:rsid w:val="007F4609"/>
    <w:rsid w:val="00814468"/>
    <w:rsid w:val="008176A1"/>
    <w:rsid w:val="00820005"/>
    <w:rsid w:val="00841158"/>
    <w:rsid w:val="00844318"/>
    <w:rsid w:val="00851257"/>
    <w:rsid w:val="00853463"/>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777CA"/>
    <w:rsid w:val="00993450"/>
    <w:rsid w:val="00994341"/>
    <w:rsid w:val="009B58D6"/>
    <w:rsid w:val="009D1A48"/>
    <w:rsid w:val="009E1CE7"/>
    <w:rsid w:val="009E4EA5"/>
    <w:rsid w:val="009F164B"/>
    <w:rsid w:val="009F323C"/>
    <w:rsid w:val="00A01B3C"/>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156BF"/>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866BA"/>
    <w:rsid w:val="00CC7622"/>
    <w:rsid w:val="00CD516B"/>
    <w:rsid w:val="00CD608F"/>
    <w:rsid w:val="00CE0084"/>
    <w:rsid w:val="00CF4669"/>
    <w:rsid w:val="00CF6BB7"/>
    <w:rsid w:val="00D04AA4"/>
    <w:rsid w:val="00D160AB"/>
    <w:rsid w:val="00D27982"/>
    <w:rsid w:val="00D33B86"/>
    <w:rsid w:val="00D44968"/>
    <w:rsid w:val="00D53924"/>
    <w:rsid w:val="00D55D0C"/>
    <w:rsid w:val="00D66400"/>
    <w:rsid w:val="00D75A63"/>
    <w:rsid w:val="00D96D8C"/>
    <w:rsid w:val="00DA6649"/>
    <w:rsid w:val="00DC1259"/>
    <w:rsid w:val="00DC1BD2"/>
    <w:rsid w:val="00DC2571"/>
    <w:rsid w:val="00DC487C"/>
    <w:rsid w:val="00DD4335"/>
    <w:rsid w:val="00DE1E7D"/>
    <w:rsid w:val="00DE6BF6"/>
    <w:rsid w:val="00E1068A"/>
    <w:rsid w:val="00E25884"/>
    <w:rsid w:val="00E25B55"/>
    <w:rsid w:val="00E31C2B"/>
    <w:rsid w:val="00E41700"/>
    <w:rsid w:val="00E5426A"/>
    <w:rsid w:val="00E54642"/>
    <w:rsid w:val="00E7523E"/>
    <w:rsid w:val="00E765F7"/>
    <w:rsid w:val="00E80CBE"/>
    <w:rsid w:val="00E9269D"/>
    <w:rsid w:val="00E962E3"/>
    <w:rsid w:val="00EB6C79"/>
    <w:rsid w:val="00EC37E9"/>
    <w:rsid w:val="00F038D8"/>
    <w:rsid w:val="00F06995"/>
    <w:rsid w:val="00F12D66"/>
    <w:rsid w:val="00F13623"/>
    <w:rsid w:val="00F150F7"/>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2A70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472714">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A74356" w:rsidP="00A74356">
          <w:pPr>
            <w:pStyle w:val="1C8A38705F7143EA87FF3DEB2C34E7E56"/>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A74356" w:rsidP="00A74356">
          <w:pPr>
            <w:pStyle w:val="4DC45A2FD697422FAA3CD896A84FA7B46"/>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0F6849"/>
    <w:rsid w:val="001A0763"/>
    <w:rsid w:val="002D02C4"/>
    <w:rsid w:val="002D09CE"/>
    <w:rsid w:val="00345C9D"/>
    <w:rsid w:val="0048651F"/>
    <w:rsid w:val="004B017A"/>
    <w:rsid w:val="005157ED"/>
    <w:rsid w:val="00556D67"/>
    <w:rsid w:val="00673B50"/>
    <w:rsid w:val="006D678D"/>
    <w:rsid w:val="00793995"/>
    <w:rsid w:val="007C6F98"/>
    <w:rsid w:val="007E254A"/>
    <w:rsid w:val="008B4366"/>
    <w:rsid w:val="009133C7"/>
    <w:rsid w:val="009178E4"/>
    <w:rsid w:val="00961B27"/>
    <w:rsid w:val="009A36E7"/>
    <w:rsid w:val="00A74356"/>
    <w:rsid w:val="00AA7CE3"/>
    <w:rsid w:val="00B50DB2"/>
    <w:rsid w:val="00B72BC2"/>
    <w:rsid w:val="00B91FA3"/>
    <w:rsid w:val="00BD69D1"/>
    <w:rsid w:val="00BE6557"/>
    <w:rsid w:val="00C96C06"/>
    <w:rsid w:val="00D24521"/>
    <w:rsid w:val="00D646D9"/>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82016645</CaseID>
    <CaseJudicialPersonPresentationDS>
      <CaseJudicalPersonActive>
        <CaseID>82016645</CaseID>
        <JudicialPersonID>056479827@GOV.IL</JudicialPersonID>
        <JudicialPersonTypeID>1</JudicialPersonTypeID>
        <JudicialTypeID>1</JudicialTypeID>
        <IsChairman>false</IsChairman>
        <TreatmentStartDate>2024-10-07T07:51:19.033+03:00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לימור רחמים</FullName>
        <FirstName>לימור</FirstName>
        <LastName>רחמים</LastName>
        <PartyPropertyName/>
        <AuthenticationTypeAndNumber>ת"ז 027881341</AuthenticationTypeAndNumber>
        <RepresentatedOrRepresentativesNames>ענבל כספי גאון</RepresentatedOrRepresentativesNames>
        <RepresentatedOrRepresentativesCount>1</RepresentatedOrRepresentativesCount>
        <InvitedBy/>
        <CaseID>82016645</CaseID>
        <CaseJudicialPersonPresentationDS>
          <CaseJudicalPersonActive>
            <CaseID>82016645</CaseID>
            <JudicialPersonID>056479827@GOV.IL</JudicialPersonID>
            <JudicialPersonTypeID>1</JudicialPersonTypeID>
            <JudicialTypeID>1</JudicialTypeID>
            <IsChairman>false</IsChairman>
            <TreatmentStartDate>2024-10-07T07:51:19.033+03:00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278342993</CasePartyID>
        <PartyTypeID>1</PartyTypeID>
        <ActivityStatusID>1</ActivityStatusID>
        <PartyAliasID>3</PartyAliasID>
        <PartyAliasName>מבקש</PartyAliasName>
        <OrdinalNumber>1</OrdinalNumber>
        <LegalEntityID>8544717</LegalEntityID>
        <CaseLegalEntityID>132545082</CaseLegalEntityID>
        <AuthenticationTypeID>1</AuthenticationTypeID>
        <AuthenticationTypeName>ת"ז</AuthenticationTypeName>
        <LegalEntityNumber>027881341</LegalEntityNumber>
        <IsMainPartyType>true</IsMainPartyType>
        <CaseDisplayIdentifier>7352-10-24</CaseDisplayIdentifier>
        <CaseTypeID>10074</CaseTypeID>
        <CaseTypeName>רשות ערעור משפחה (רמ"ש)</CaseTypeName>
        <CaseName>רחמים נ' רחמים</CaseName>
        <FullAddress>משה חיים שפירא חיפה קרית חיים</FullAddress>
        <MotionID>0</MotionID>
        <CasePleaID>0</CasePleaID>
        <FatherName>ישראל</FatherName>
        <LinkedCaseID>0</LinkedCaseID>
        <PartyID>1</PartyID>
        <CasePartyCategoryID>2</CasePartyCategoryID>
        <LegalEntityAddressID>89455631</LegalEntityAddressID>
        <PleaTypeID>5</PleaTypeID>
        <GroupPartyAlias>מבקשים</GroupPartyAlias>
        <IsConverted>false</IsConverted>
        <LegalEntityRegisteredNameID>6300739</LegalEntityRegisteredNameID>
        <LegalEntityNameID>98309944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לימור רחמים</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ענבל כספי גאון</FullName>
        <FirstName>ענבל</FirstName>
        <LastName>כספי גאון</LastName>
        <PartyPropertyName/>
        <AuthenticationTypeAndNumber>מ.ר. 59418</AuthenticationTypeAndNumber>
        <RepresentatedOrRepresentativesNames>לימור רחמים</RepresentatedOrRepresentativesNames>
        <RepresentatedOrRepresentativesCount>1</RepresentatedOrRepresentativesCount>
        <InvitedBy/>
        <CaseID>82016645</CaseID>
        <CaseJudicialPersonPresentationDS>
          <CaseJudicalPersonActive>
            <CaseID>82016645</CaseID>
            <JudicialPersonID>056479827@GOV.IL</JudicialPersonID>
            <JudicialPersonTypeID>1</JudicialPersonTypeID>
            <JudicialTypeID>1</JudicialTypeID>
            <IsChairman>false</IsChairman>
            <TreatmentStartDate>2024-10-07T07:51:19.033+03:00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278342996</CasePartyID>
        <PartyTypeID>2</PartyTypeID>
        <ActivityStatusID>1</ActivityStatusID>
        <PartyAliasID>22</PartyAliasID>
        <PartyAliasName>בא כוח מבקשים</PartyAliasName>
        <OrdinalNumber>1</OrdinalNumber>
        <LegalEntityID>75407152</LegalEntityID>
        <CaseLegalEntityID>132545085</CaseLegalEntityID>
        <AuthenticationTypeID>4</AuthenticationTypeID>
        <AuthenticationTypeName>מ.ר.</AuthenticationTypeName>
        <LegalEntityNumber>59418</LegalEntityNumber>
        <IsMainPartyType>true</IsMainPartyType>
        <CaseDisplayIdentifier>7352-10-24</CaseDisplayIdentifier>
        <CaseTypeID>10074</CaseTypeID>
        <CaseTypeName>רשות ערעור משפחה (רמ"ש)</CaseTypeName>
        <CaseName>רחמים נ' רחמים</CaseName>
        <FullAddress>אח"י אילת 9 קריית חיים </FullAddress>
        <EmailAddress>inbalcaspigaon@gmail.com</EmailAddress>
        <MotionID>0</MotionID>
        <CasePleaID>0</CasePleaID>
        <LinkedCaseID>0</LinkedCaseID>
        <PartyID>1</PartyID>
        <CasePartyCategoryID>2</CasePartyCategoryID>
        <LegalEntityAddressID>84900236</LegalEntityAddressID>
        <LegalEntityEmailAddressID>67904349</LegalEntityEmailAddressID>
        <PleaTypeID>5</PleaTypeID>
        <LawyerOfficeName>משרד עו"ד ענבל כספי גאון</LawyerOfficeName>
        <LawyerOfficeID>75407153</LawyerOfficeID>
        <GroupPartyAlias/>
        <IsConverted>false</IsConverted>
        <LegalEntityNameID>90842203</LegalEntityNameID>
        <RepresentatedNamesOfAssistant/>
        <LegalEntityTypeID>4</LegalEntityTypeID>
        <IsVerdictExists>false</IsVerdictExists>
        <IsAsirAzir>false</IsAsirAzir>
        <MainAndSecSpec/>
        <IsPublicationProhibited>false</IsPublicationProhibited>
        <PublicationProhibitedFullName>ענבל כספי גאון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נחום רחמים</FullName>
        <FirstName>נחום</FirstName>
        <LastName>רחמים</LastName>
        <PartyPropertyName/>
        <AuthenticationTypeAndNumber>ת"ז 031723042</AuthenticationTypeAndNumber>
        <RepresentatedOrRepresentativesNames/>
        <RepresentatedOrRepresentativesCount>0</RepresentatedOrRepresentativesCount>
        <InvitedBy/>
        <CaseID>82016645</CaseID>
        <CaseJudicialPersonPresentationDS>
          <CaseJudicalPersonActive>
            <CaseID>82016645</CaseID>
            <JudicialPersonID>056479827@GOV.IL</JudicialPersonID>
            <JudicialPersonTypeID>1</JudicialPersonTypeID>
            <JudicialTypeID>1</JudicialTypeID>
            <IsChairman>false</IsChairman>
            <TreatmentStartDate>2024-10-07T07:51:19.033+03:00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278342994</CasePartyID>
        <PartyTypeID>1</PartyTypeID>
        <ActivityStatusID>1</ActivityStatusID>
        <PartyAliasID>4</PartyAliasID>
        <PartyAliasName>משיב</PartyAliasName>
        <OrdinalNumber>1</OrdinalNumber>
        <LegalEntityID>71821569</LegalEntityID>
        <CaseLegalEntityID>132545083</CaseLegalEntityID>
        <AuthenticationTypeID>1</AuthenticationTypeID>
        <AuthenticationTypeName>ת"ז</AuthenticationTypeName>
        <LegalEntityNumber>031723042</LegalEntityNumber>
        <IsMainPartyType>true</IsMainPartyType>
        <CaseDisplayIdentifier>7352-10-24</CaseDisplayIdentifier>
        <CaseTypeID>10074</CaseTypeID>
        <CaseTypeName>רשות ערעור משפחה (רמ"ש)</CaseTypeName>
        <CaseName>רחמים נ' רחמים</CaseName>
        <FullAddress>רוקח 16 קריית מוצקין </FullAddress>
        <MotionID>0</MotionID>
        <CasePleaID>0</CasePleaID>
        <FatherName>רן</FatherName>
        <LinkedCaseID>0</LinkedCaseID>
        <PartyID>2</PartyID>
        <CasePartyCategoryID>2</CasePartyCategoryID>
        <LegalEntityAddressID>89455632</LegalEntityAddressID>
        <PleaTypeID>5</PleaTypeID>
        <GroupPartyAlias>משיבים</GroupPartyAlias>
        <IsConverted>false</IsConverted>
        <LegalEntityRegisteredNameID>4747626</LegalEntityRegisteredNameID>
        <LegalEntityNameID>98309938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נחום רחמים</PublicationProhibitedFullName>
      </CaseParties>
    </CasePartiesSelectionDS>
    <DecisionName>החלטה  שניתנה ע"י  חננאל שרעבי</DecisionName>
    <CourtDisplayName>בית המשפט המחוזי בחיפה בשבתו כבית-משפט לערעורים אזרחיים</CourtDisplayName>
    <IsCaseJudgePanel>false</IsCaseJudgePanel>
    <DecisionSignatureDate>2024-10-08T10:37:31.4904571+03:00</DecisionSignatureDate>
    <OpenCaseDate>2024-10-06T13:18:00+03:00</OpenCaseDate>
    <CaseFeeSum>0.000</CaseFeeSum>
    <DecisionTypeID>1</DecisionTypeID>
    <DecisionSignatureUserName>חננאל שרעבי</DecisionSignatureUserName>
    <DecisionSignatureDateHebrew>2024-10-08T10:37:31.4904571+03:00</DecisionSignatureDateHebrew>
    <DecisionWriterID>056479827@GOV.IL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רחמים נ' רחמים</CaseName>
    <DecisionNumberInCase>1</DecisionNumberInCase>
  </dt_Decision>
  <dt_DecisionCase>
    <DecisionID>0</DecisionID>
    <CaseID>82016645</CaseID>
    <CaseJudicialPersonPresentationDS>
      <CaseJudicalPersonActive>
        <CaseID>82016645</CaseID>
        <JudicialPersonID>056479827@GOV.IL</JudicialPersonID>
        <JudicialPersonTypeID>1</JudicialPersonTypeID>
        <JudicialTypeID>1</JudicialTypeID>
        <IsChairman>false</IsChairman>
        <TreatmentStartDate>2024-10-07T07:51:19.033+03:00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לימור רחמים</FullName>
        <FirstName>לימור</FirstName>
        <LastName>רחמים</LastName>
        <PartyPropertyName/>
        <AuthenticationTypeAndNumber>ת"ז 027881341</AuthenticationTypeAndNumber>
        <RepresentatedOrRepresentativesNames>ענבל כספי גאון</RepresentatedOrRepresentativesNames>
        <RepresentatedOrRepresentativesCount>1</RepresentatedOrRepresentativesCount>
        <InvitedBy/>
        <CaseID>82016645</CaseID>
        <CaseJudicialPersonPresentationDS>
          <CaseJudicalPersonActive>
            <CaseID>82016645</CaseID>
            <JudicialPersonID>056479827@GOV.IL</JudicialPersonID>
            <JudicialPersonTypeID>1</JudicialPersonTypeID>
            <JudicialTypeID>1</JudicialTypeID>
            <IsChairman>false</IsChairman>
            <TreatmentStartDate>2024-10-07T07:51:19.033+03:00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278342993</CasePartyID>
        <PartyTypeID>1</PartyTypeID>
        <ActivityStatusID>1</ActivityStatusID>
        <PartyAliasID>3</PartyAliasID>
        <PartyAliasName>מבקש</PartyAliasName>
        <OrdinalNumber>1</OrdinalNumber>
        <LegalEntityID>8544717</LegalEntityID>
        <CaseLegalEntityID>132545082</CaseLegalEntityID>
        <AuthenticationTypeID>1</AuthenticationTypeID>
        <AuthenticationTypeName>ת"ז</AuthenticationTypeName>
        <LegalEntityNumber>027881341</LegalEntityNumber>
        <IsMainPartyType>true</IsMainPartyType>
        <CaseDisplayIdentifier>7352-10-24</CaseDisplayIdentifier>
        <CaseTypeID>10074</CaseTypeID>
        <CaseTypeName>רשות ערעור משפחה (רמ"ש)</CaseTypeName>
        <CaseName>רחמים נ' רחמים</CaseName>
        <FullAddress>משה חיים שפירא חיפה קרית חיים</FullAddress>
        <MotionID>0</MotionID>
        <CasePleaID>0</CasePleaID>
        <FatherName>ישראל</FatherName>
        <LinkedCaseID>0</LinkedCaseID>
        <PartyID>1</PartyID>
        <CasePartyCategoryID>2</CasePartyCategoryID>
        <LegalEntityAddressID>89455631</LegalEntityAddressID>
        <PleaTypeID>5</PleaTypeID>
        <GroupPartyAlias>מבקשים</GroupPartyAlias>
        <IsConverted>false</IsConverted>
        <LegalEntityRegisteredNameID>6300739</LegalEntityRegisteredNameID>
        <LegalEntityNameID>98309944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לימור רחמים</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ענבל כספי גאון</FullName>
        <FirstName>ענבל</FirstName>
        <LastName>כספי גאון</LastName>
        <PartyPropertyName/>
        <AuthenticationTypeAndNumber>מ.ר. 59418</AuthenticationTypeAndNumber>
        <RepresentatedOrRepresentativesNames>לימור רחמים</RepresentatedOrRepresentativesNames>
        <RepresentatedOrRepresentativesCount>1</RepresentatedOrRepresentativesCount>
        <InvitedBy/>
        <CaseID>82016645</CaseID>
        <CaseJudicialPersonPresentationDS>
          <CaseJudicalPersonActive>
            <CaseID>82016645</CaseID>
            <JudicialPersonID>056479827@GOV.IL</JudicialPersonID>
            <JudicialPersonTypeID>1</JudicialPersonTypeID>
            <JudicialTypeID>1</JudicialTypeID>
            <IsChairman>false</IsChairman>
            <TreatmentStartDate>2024-10-07T07:51:19.033+03:00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278342996</CasePartyID>
        <PartyTypeID>2</PartyTypeID>
        <ActivityStatusID>1</ActivityStatusID>
        <PartyAliasID>22</PartyAliasID>
        <PartyAliasName>בא כוח מבקשים</PartyAliasName>
        <OrdinalNumber>1</OrdinalNumber>
        <LegalEntityID>75407152</LegalEntityID>
        <CaseLegalEntityID>132545085</CaseLegalEntityID>
        <AuthenticationTypeID>4</AuthenticationTypeID>
        <AuthenticationTypeName>מ.ר.</AuthenticationTypeName>
        <LegalEntityNumber>59418</LegalEntityNumber>
        <IsMainPartyType>true</IsMainPartyType>
        <CaseDisplayIdentifier>7352-10-24</CaseDisplayIdentifier>
        <CaseTypeID>10074</CaseTypeID>
        <CaseTypeName>רשות ערעור משפחה (רמ"ש)</CaseTypeName>
        <CaseName>רחמים נ' רחמים</CaseName>
        <FullAddress>אח"י אילת 9 קריית חיים </FullAddress>
        <EmailAddress>inbalcaspigaon@gmail.com</EmailAddress>
        <MotionID>0</MotionID>
        <CasePleaID>0</CasePleaID>
        <LinkedCaseID>0</LinkedCaseID>
        <PartyID>1</PartyID>
        <CasePartyCategoryID>2</CasePartyCategoryID>
        <LegalEntityAddressID>84900236</LegalEntityAddressID>
        <LegalEntityEmailAddressID>67904349</LegalEntityEmailAddressID>
        <PleaTypeID>5</PleaTypeID>
        <LawyerOfficeName>משרד עו"ד ענבל כספי גאון</LawyerOfficeName>
        <LawyerOfficeID>75407153</LawyerOfficeID>
        <GroupPartyAlias/>
        <IsConverted>false</IsConverted>
        <LegalEntityNameID>90842203</LegalEntityNameID>
        <RepresentatedNamesOfAssistant/>
        <LegalEntityTypeID>4</LegalEntityTypeID>
        <IsVerdictExists>false</IsVerdictExists>
        <IsAsirAzir>false</IsAsirAzir>
        <MainAndSecSpec/>
        <IsPublicationProhibited>false</IsPublicationProhibited>
        <PublicationProhibitedFullName>ענבל כספי גאון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נחום רחמים</FullName>
        <FirstName>נחום</FirstName>
        <LastName>רחמים</LastName>
        <PartyPropertyName/>
        <AuthenticationTypeAndNumber>ת"ז 031723042</AuthenticationTypeAndNumber>
        <RepresentatedOrRepresentativesNames/>
        <RepresentatedOrRepresentativesCount>0</RepresentatedOrRepresentativesCount>
        <InvitedBy/>
        <CaseID>82016645</CaseID>
        <CaseJudicialPersonPresentationDS>
          <CaseJudicalPersonActive>
            <CaseID>82016645</CaseID>
            <JudicialPersonID>056479827@GOV.IL</JudicialPersonID>
            <JudicialPersonTypeID>1</JudicialPersonTypeID>
            <JudicialTypeID>1</JudicialTypeID>
            <IsChairman>false</IsChairman>
            <TreatmentStartDate>2024-10-07T07:51:19.033+03:00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278342994</CasePartyID>
        <PartyTypeID>1</PartyTypeID>
        <ActivityStatusID>1</ActivityStatusID>
        <PartyAliasID>4</PartyAliasID>
        <PartyAliasName>משיב</PartyAliasName>
        <OrdinalNumber>1</OrdinalNumber>
        <LegalEntityID>71821569</LegalEntityID>
        <CaseLegalEntityID>132545083</CaseLegalEntityID>
        <AuthenticationTypeID>1</AuthenticationTypeID>
        <AuthenticationTypeName>ת"ז</AuthenticationTypeName>
        <LegalEntityNumber>031723042</LegalEntityNumber>
        <IsMainPartyType>true</IsMainPartyType>
        <CaseDisplayIdentifier>7352-10-24</CaseDisplayIdentifier>
        <CaseTypeID>10074</CaseTypeID>
        <CaseTypeName>רשות ערעור משפחה (רמ"ש)</CaseTypeName>
        <CaseName>רחמים נ' רחמים</CaseName>
        <FullAddress>רוקח 16 קריית מוצקין </FullAddress>
        <MotionID>0</MotionID>
        <CasePleaID>0</CasePleaID>
        <FatherName>רן</FatherName>
        <LinkedCaseID>0</LinkedCaseID>
        <PartyID>2</PartyID>
        <CasePartyCategoryID>2</CasePartyCategoryID>
        <LegalEntityAddressID>89455632</LegalEntityAddressID>
        <PleaTypeID>5</PleaTypeID>
        <GroupPartyAlias>משיבים</GroupPartyAlias>
        <IsConverted>false</IsConverted>
        <LegalEntityRegisteredNameID>4747626</LegalEntityRegisteredNameID>
        <LegalEntityNameID>98309938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נחום רחמים</PublicationProhibitedFullName>
      </CaseParties>
    </CasePartiesSelectionDS>
    <CaseName>רחמים נ' רחמים</CaseName>
    <CaseDisplayIdentifier>7352-10-24</CaseDisplayIdentifier>
    <CaseInterestID>10641</CaseInterestID>
    <CaseTypeShortName>רמ"ש</CaseTypeShortName>
  </dt_DecisionCase>
  <dt_DecisionJudgePanel>
    <JudgeID>056479827@GOV.IL</JudgeID>
    <DisplayName>חננאל שרעבי</DisplayName>
    <RoleName>שופט</RoleName>
    <UserTitleName>שופט</UserTitleName>
  </dt_DecisionJudgePanel>
  <dt_LegalEntityDetails>
    <AddressDesc>קרית חיים</AddressDesc>
    <PartyID>1</PartyID>
    <PartyTypeID>1</PartyTypeID>
    <DecisionID>0</DecisionID>
    <StreetName>משה חיים שפירא</StreetName>
    <CityName>חיפה</CityName>
    <FullName>לימור רחמים</FullName>
    <IsPublicationProhibited>false</IsPublicationProhibited>
  </dt_LegalEntityDetails>
  <dt_LegalEntityDetails>
    <PartyID>2</PartyID>
    <PartyTypeID>1</PartyTypeID>
    <DecisionID>0</DecisionID>
    <StreetName>רוקח 16</StreetName>
    <CityName>קריית מוצקין</CityName>
    <FullName>נחום רחמים</FullName>
    <IsPublicationProhibited>false</IsPublicationProhibited>
  </dt_LegalEntityDetails>
  <dt_LegalEntityDetails>
    <Fax>04-8282687</Fax>
    <Phone>04-8282683</Phone>
    <AddressDesc/>
    <PartyID>1</PartyID>
    <PartyTypeID>2</PartyTypeID>
    <DecisionID>0</DecisionID>
    <StreetName>אח"י אילת 9</StreetName>
    <CityName>קריית חיים </CityName>
    <FullName>ענבל כספי גאון</FullName>
    <Email>inbalcaspigaon@gmail.com</Email>
    <IsPublicationProhibited>false</IsPublicationProhibited>
  </dt_LegalEntityDetails>
  <dt_CaseJudicalPersonActive>
    <CaseJudicalPerson>שופט חננאל שרעבי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DAF05-BDD0-432D-801E-61BDE9C873E7}">
  <ds:schemaRefs/>
</ds:datastoreItem>
</file>

<file path=customXml/itemProps2.xml><?xml version="1.0" encoding="utf-8"?>
<ds:datastoreItem xmlns:ds="http://schemas.openxmlformats.org/officeDocument/2006/customXml" ds:itemID="{AC7EEA76-C518-43D8-BB26-6373A28AC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2066</Words>
  <Characters>10331</Characters>
  <Application>Microsoft Office Word</Application>
  <DocSecurity>0</DocSecurity>
  <Lines>86</Lines>
  <Paragraphs>24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2024-10-27T08:58:00Z</dcterms:created>
  <dcterms:modified xsi:type="dcterms:W3CDTF">2024-10-27T08:58:00Z</dcterms:modified>
</cp:coreProperties>
</file>